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079E3" w14:textId="6D6487B3" w:rsidR="00B23FC5" w:rsidRPr="00B23FC5" w:rsidRDefault="00B23FC5" w:rsidP="00D05A55">
      <w:pPr>
        <w:tabs>
          <w:tab w:val="left" w:pos="360"/>
        </w:tabs>
        <w:spacing w:after="0" w:line="276" w:lineRule="auto"/>
        <w:jc w:val="center"/>
        <w:rPr>
          <w:rFonts w:ascii="Old English Text MT" w:hAnsi="Old English Text MT"/>
          <w:b/>
          <w:bCs/>
          <w:sz w:val="40"/>
          <w:szCs w:val="40"/>
        </w:rPr>
      </w:pPr>
      <w:r>
        <w:rPr>
          <w:noProof/>
        </w:rPr>
        <mc:AlternateContent>
          <mc:Choice Requires="wps">
            <w:drawing>
              <wp:anchor distT="0" distB="0" distL="114300" distR="114300" simplePos="0" relativeHeight="251665408" behindDoc="0" locked="0" layoutInCell="1" allowOverlap="1" wp14:anchorId="74994CEF" wp14:editId="11947EEB">
                <wp:simplePos x="0" y="0"/>
                <wp:positionH relativeFrom="column">
                  <wp:posOffset>1905</wp:posOffset>
                </wp:positionH>
                <wp:positionV relativeFrom="paragraph">
                  <wp:posOffset>-159224</wp:posOffset>
                </wp:positionV>
                <wp:extent cx="5949950" cy="635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5949950" cy="63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BD282"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5pt,-12.55pt" to="468.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9E210B5" wp14:editId="5F14D538">
                <wp:simplePos x="0" y="0"/>
                <wp:positionH relativeFrom="column">
                  <wp:posOffset>1905</wp:posOffset>
                </wp:positionH>
                <wp:positionV relativeFrom="paragraph">
                  <wp:posOffset>-101439</wp:posOffset>
                </wp:positionV>
                <wp:extent cx="5949950" cy="6350"/>
                <wp:effectExtent l="57150" t="38100" r="69850" b="107950"/>
                <wp:wrapNone/>
                <wp:docPr id="2" name="Straight Connector 2"/>
                <wp:cNvGraphicFramePr/>
                <a:graphic xmlns:a="http://schemas.openxmlformats.org/drawingml/2006/main">
                  <a:graphicData uri="http://schemas.microsoft.com/office/word/2010/wordprocessingShape">
                    <wps:wsp>
                      <wps:cNvCnPr/>
                      <wps:spPr>
                        <a:xfrm flipV="1">
                          <a:off x="0" y="0"/>
                          <a:ext cx="5949950" cy="6350"/>
                        </a:xfrm>
                        <a:prstGeom prst="line">
                          <a:avLst/>
                        </a:prstGeom>
                        <a:ln w="38100">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43889"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pt,-8pt" to="46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" strokecolor="black [3213]" strokeweight="3pt">
                <v:stroke joinstyle="miter"/>
                <v:shadow on="t" color="black" opacity="26214f" origin=",-.5" offset="0,3pt"/>
              </v:line>
            </w:pict>
          </mc:Fallback>
        </mc:AlternateContent>
      </w:r>
      <w:r w:rsidRPr="00B23FC5">
        <w:rPr>
          <w:rFonts w:ascii="Old English Text MT" w:hAnsi="Old English Text MT"/>
          <w:b/>
          <w:bCs/>
          <w:sz w:val="40"/>
          <w:szCs w:val="40"/>
        </w:rPr>
        <w:t>New York State Supreme Court Dutchess County</w:t>
      </w:r>
    </w:p>
    <w:p w14:paraId="3318706C" w14:textId="7F013BEA" w:rsidR="00B23FC5" w:rsidRPr="00B23FC5" w:rsidRDefault="00B23FC5" w:rsidP="00D05A55">
      <w:pPr>
        <w:tabs>
          <w:tab w:val="left" w:pos="360"/>
        </w:tabs>
        <w:spacing w:line="360" w:lineRule="auto"/>
        <w:jc w:val="center"/>
        <w:rPr>
          <w:spacing w:val="30"/>
        </w:rPr>
      </w:pPr>
      <w:r>
        <w:rPr>
          <w:noProof/>
        </w:rPr>
        <mc:AlternateContent>
          <mc:Choice Requires="wps">
            <w:drawing>
              <wp:anchor distT="0" distB="0" distL="114300" distR="114300" simplePos="0" relativeHeight="251659264" behindDoc="0" locked="0" layoutInCell="1" allowOverlap="1" wp14:anchorId="0069CD42" wp14:editId="72D47915">
                <wp:simplePos x="0" y="0"/>
                <wp:positionH relativeFrom="column">
                  <wp:posOffset>-6350</wp:posOffset>
                </wp:positionH>
                <wp:positionV relativeFrom="paragraph">
                  <wp:posOffset>308771</wp:posOffset>
                </wp:positionV>
                <wp:extent cx="5949950" cy="6350"/>
                <wp:effectExtent l="76200" t="114300" r="50800" b="50800"/>
                <wp:wrapNone/>
                <wp:docPr id="1" name="Straight Connector 1"/>
                <wp:cNvGraphicFramePr/>
                <a:graphic xmlns:a="http://schemas.openxmlformats.org/drawingml/2006/main">
                  <a:graphicData uri="http://schemas.microsoft.com/office/word/2010/wordprocessingShape">
                    <wps:wsp>
                      <wps:cNvCnPr/>
                      <wps:spPr>
                        <a:xfrm flipV="1">
                          <a:off x="0" y="0"/>
                          <a:ext cx="5949950" cy="6350"/>
                        </a:xfrm>
                        <a:prstGeom prst="line">
                          <a:avLst/>
                        </a:prstGeom>
                        <a:ln w="38100">
                          <a:solidFill>
                            <a:schemeClr val="tx1"/>
                          </a:solidFill>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751D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pt,24.3pt" to="46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" strokecolor="black [3213]" strokeweight="3pt">
                <v:stroke joinstyle="miter"/>
                <v:shadow on="t" color="black" opacity="26214f" origin=".5,.5" offset="-.74836mm,-.74836mm"/>
              </v:line>
            </w:pict>
          </mc:Fallback>
        </mc:AlternateContent>
      </w:r>
      <w:r>
        <w:rPr>
          <w:spacing w:val="30"/>
        </w:rPr>
        <w:t xml:space="preserve">● </w:t>
      </w:r>
      <w:r w:rsidRPr="00B23FC5">
        <w:rPr>
          <w:spacing w:val="30"/>
        </w:rPr>
        <w:t>10 Market Street; Poughkeepsie, NY 12601</w:t>
      </w:r>
      <w:r>
        <w:rPr>
          <w:spacing w:val="30"/>
        </w:rPr>
        <w:t xml:space="preserve"> ●</w:t>
      </w:r>
    </w:p>
    <w:p w14:paraId="4B9DB733" w14:textId="3E9AEFD1" w:rsidR="00B23FC5" w:rsidRDefault="00B23FC5" w:rsidP="00D05A55">
      <w:pPr>
        <w:tabs>
          <w:tab w:val="left" w:pos="360"/>
        </w:tabs>
        <w:spacing w:line="360" w:lineRule="auto"/>
      </w:pPr>
      <w:r>
        <w:rPr>
          <w:noProof/>
        </w:rPr>
        <mc:AlternateContent>
          <mc:Choice Requires="wps">
            <w:drawing>
              <wp:anchor distT="0" distB="0" distL="114300" distR="114300" simplePos="0" relativeHeight="251663360" behindDoc="0" locked="0" layoutInCell="1" allowOverlap="1" wp14:anchorId="1E26DC26" wp14:editId="283232A5">
                <wp:simplePos x="0" y="0"/>
                <wp:positionH relativeFrom="column">
                  <wp:posOffset>2540</wp:posOffset>
                </wp:positionH>
                <wp:positionV relativeFrom="paragraph">
                  <wp:posOffset>7781</wp:posOffset>
                </wp:positionV>
                <wp:extent cx="5949950" cy="6350"/>
                <wp:effectExtent l="0" t="0" r="31750" b="31750"/>
                <wp:wrapNone/>
                <wp:docPr id="3" name="Straight Connector 3"/>
                <wp:cNvGraphicFramePr/>
                <a:graphic xmlns:a="http://schemas.openxmlformats.org/drawingml/2006/main">
                  <a:graphicData uri="http://schemas.microsoft.com/office/word/2010/wordprocessingShape">
                    <wps:wsp>
                      <wps:cNvCnPr/>
                      <wps:spPr>
                        <a:xfrm flipV="1">
                          <a:off x="0" y="0"/>
                          <a:ext cx="5949950" cy="63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D4B3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pt,.6pt" to="46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" strokecolor="black [3200]"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0"/>
      </w:tblGrid>
      <w:tr w:rsidR="0065105C" w14:paraId="4EC48CFE" w14:textId="77777777" w:rsidTr="0065105C">
        <w:tc>
          <w:tcPr>
            <w:tcW w:w="5670" w:type="dxa"/>
          </w:tcPr>
          <w:p w14:paraId="18FCEB49" w14:textId="6207CF8B" w:rsidR="0065105C" w:rsidRPr="00243465" w:rsidRDefault="00EF39CA" w:rsidP="00D05A55">
            <w:pPr>
              <w:tabs>
                <w:tab w:val="left" w:pos="360"/>
              </w:tabs>
              <w:spacing w:line="276" w:lineRule="auto"/>
              <w:rPr>
                <w:color w:val="FF0000"/>
              </w:rPr>
            </w:pPr>
            <w:r w:rsidRPr="00EF39CA">
              <w:rPr>
                <w:rFonts w:cs="Times New Roman"/>
                <w:szCs w:val="24"/>
                <w:highlight w:val="black"/>
              </w:rPr>
              <w:t>XXXXXXXXX</w:t>
            </w:r>
          </w:p>
          <w:p w14:paraId="47A4D374" w14:textId="2327A144" w:rsidR="0065105C" w:rsidRPr="00D03004" w:rsidRDefault="00A532FD" w:rsidP="00D05A55">
            <w:pPr>
              <w:tabs>
                <w:tab w:val="left" w:pos="360"/>
              </w:tabs>
              <w:spacing w:line="276" w:lineRule="auto"/>
            </w:pPr>
            <w:r>
              <w:t xml:space="preserve">                                                                     </w:t>
            </w:r>
            <w:r w:rsidR="007D6125">
              <w:t xml:space="preserve"> </w:t>
            </w:r>
            <w:r w:rsidR="0065105C" w:rsidRPr="00D03004">
              <w:t>P</w:t>
            </w:r>
            <w:r w:rsidR="007D6125" w:rsidRPr="00D03004">
              <w:t>etitioner</w:t>
            </w:r>
          </w:p>
        </w:tc>
        <w:tc>
          <w:tcPr>
            <w:tcW w:w="3680" w:type="dxa"/>
          </w:tcPr>
          <w:p w14:paraId="0A08F4C5" w14:textId="77777777" w:rsidR="0065105C" w:rsidRDefault="00A532FD" w:rsidP="00D05A55">
            <w:pPr>
              <w:tabs>
                <w:tab w:val="left" w:pos="360"/>
              </w:tabs>
              <w:spacing w:line="276" w:lineRule="auto"/>
              <w:rPr>
                <w:rFonts w:eastAsia="Times New Roman"/>
                <w:szCs w:val="24"/>
              </w:rPr>
            </w:pPr>
            <w:r w:rsidRPr="000F336D">
              <w:rPr>
                <w:rFonts w:eastAsia="Times New Roman"/>
                <w:smallCaps/>
                <w:szCs w:val="24"/>
              </w:rPr>
              <w:t>Jurisdiction</w:t>
            </w:r>
            <w:r w:rsidRPr="000F336D">
              <w:rPr>
                <w:rFonts w:eastAsia="Times New Roman"/>
                <w:szCs w:val="24"/>
              </w:rPr>
              <w:t>: Court of Record,</w:t>
            </w:r>
            <w:r w:rsidRPr="000F336D">
              <w:rPr>
                <w:rStyle w:val="FootnoteReference"/>
                <w:szCs w:val="24"/>
              </w:rPr>
              <w:footnoteReference w:id="1"/>
            </w:r>
          </w:p>
          <w:p w14:paraId="1950E096" w14:textId="2F2B381E" w:rsidR="00A532FD" w:rsidRDefault="00A532FD" w:rsidP="00D05A55">
            <w:pPr>
              <w:tabs>
                <w:tab w:val="left" w:pos="360"/>
              </w:tabs>
              <w:spacing w:line="276" w:lineRule="auto"/>
            </w:pPr>
          </w:p>
        </w:tc>
      </w:tr>
      <w:tr w:rsidR="0065105C" w14:paraId="6775AECE" w14:textId="77777777" w:rsidTr="0065105C">
        <w:tc>
          <w:tcPr>
            <w:tcW w:w="5670" w:type="dxa"/>
          </w:tcPr>
          <w:p w14:paraId="6561D672" w14:textId="675B3CC4" w:rsidR="0065105C" w:rsidRDefault="0065105C" w:rsidP="00D05A55">
            <w:pPr>
              <w:tabs>
                <w:tab w:val="left" w:pos="360"/>
              </w:tabs>
              <w:spacing w:line="276" w:lineRule="auto"/>
              <w:jc w:val="center"/>
            </w:pPr>
            <w:r>
              <w:t>~ Against ~</w:t>
            </w:r>
          </w:p>
        </w:tc>
        <w:tc>
          <w:tcPr>
            <w:tcW w:w="3680" w:type="dxa"/>
          </w:tcPr>
          <w:p w14:paraId="756CBC03" w14:textId="15E8B8A4" w:rsidR="0065105C" w:rsidRDefault="00A532FD" w:rsidP="00D05A55">
            <w:pPr>
              <w:tabs>
                <w:tab w:val="left" w:pos="360"/>
              </w:tabs>
              <w:spacing w:line="276" w:lineRule="auto"/>
            </w:pPr>
            <w:r>
              <w:t>INDEX NO: _____________</w:t>
            </w:r>
          </w:p>
        </w:tc>
      </w:tr>
      <w:tr w:rsidR="0065105C" w14:paraId="206F0D59" w14:textId="77777777" w:rsidTr="0065105C">
        <w:tc>
          <w:tcPr>
            <w:tcW w:w="5670" w:type="dxa"/>
          </w:tcPr>
          <w:p w14:paraId="6A1E86DA" w14:textId="6C197B7E" w:rsidR="0065105C" w:rsidRDefault="007D6125" w:rsidP="00D05A55">
            <w:pPr>
              <w:tabs>
                <w:tab w:val="left" w:pos="360"/>
              </w:tabs>
              <w:spacing w:line="276" w:lineRule="auto"/>
            </w:pPr>
            <w:r>
              <w:t xml:space="preserve">Judge </w:t>
            </w:r>
            <w:r w:rsidR="0065105C">
              <w:t xml:space="preserve">Dennis E Smith, </w:t>
            </w:r>
            <w:r>
              <w:t xml:space="preserve">Prosecutor </w:t>
            </w:r>
            <w:r w:rsidR="0065105C">
              <w:t xml:space="preserve">William Grady, </w:t>
            </w:r>
            <w:r>
              <w:t xml:space="preserve">and Court Clerk </w:t>
            </w:r>
            <w:r w:rsidR="0065105C">
              <w:t xml:space="preserve">Carolyn </w:t>
            </w:r>
            <w:proofErr w:type="spellStart"/>
            <w:r w:rsidR="0065105C">
              <w:t>Harkerode</w:t>
            </w:r>
            <w:proofErr w:type="spellEnd"/>
          </w:p>
          <w:p w14:paraId="28C00E72" w14:textId="5C20A3D3" w:rsidR="0065105C" w:rsidRDefault="00A532FD" w:rsidP="00D05A55">
            <w:pPr>
              <w:tabs>
                <w:tab w:val="left" w:pos="360"/>
              </w:tabs>
              <w:spacing w:line="276" w:lineRule="auto"/>
            </w:pPr>
            <w:r>
              <w:t xml:space="preserve">                                                                      </w:t>
            </w:r>
            <w:r w:rsidR="007D6125">
              <w:t>Respondents</w:t>
            </w:r>
          </w:p>
        </w:tc>
        <w:tc>
          <w:tcPr>
            <w:tcW w:w="3680" w:type="dxa"/>
          </w:tcPr>
          <w:p w14:paraId="4BD3CC56" w14:textId="77777777" w:rsidR="0065105C" w:rsidRPr="00F81AA6" w:rsidRDefault="0065105C" w:rsidP="00D05A55">
            <w:pPr>
              <w:tabs>
                <w:tab w:val="left" w:pos="360"/>
              </w:tabs>
              <w:spacing w:line="276" w:lineRule="auto"/>
            </w:pPr>
          </w:p>
          <w:p w14:paraId="1EF5040E" w14:textId="77777777" w:rsidR="00A532FD" w:rsidRPr="00F81AA6" w:rsidRDefault="00F81AA6" w:rsidP="00F81AA6">
            <w:pPr>
              <w:tabs>
                <w:tab w:val="left" w:pos="360"/>
              </w:tabs>
              <w:spacing w:line="276" w:lineRule="auto"/>
              <w:jc w:val="center"/>
            </w:pPr>
            <w:r w:rsidRPr="00F81AA6">
              <w:t>MOVE TO STATE COURT FOR</w:t>
            </w:r>
          </w:p>
          <w:p w14:paraId="6AF6FDAF" w14:textId="7DEB1877" w:rsidR="00F81AA6" w:rsidRPr="00F81AA6" w:rsidRDefault="00F81AA6" w:rsidP="00F81AA6">
            <w:pPr>
              <w:tabs>
                <w:tab w:val="left" w:pos="360"/>
              </w:tabs>
              <w:spacing w:line="276" w:lineRule="auto"/>
              <w:jc w:val="center"/>
            </w:pPr>
            <w:r w:rsidRPr="00F81AA6">
              <w:t>JURISDICTIOAL CHALLENGE</w:t>
            </w:r>
          </w:p>
        </w:tc>
      </w:tr>
    </w:tbl>
    <w:p w14:paraId="7AB98DF1" w14:textId="28A383B7" w:rsidR="00B23FC5" w:rsidRDefault="00B23FC5" w:rsidP="00D05A55">
      <w:pPr>
        <w:tabs>
          <w:tab w:val="left" w:pos="360"/>
        </w:tabs>
        <w:spacing w:line="360" w:lineRule="auto"/>
      </w:pPr>
    </w:p>
    <w:p w14:paraId="685D2466" w14:textId="363B1D68" w:rsidR="00CC7FC8" w:rsidRPr="00A532FD" w:rsidRDefault="00A532FD" w:rsidP="00D05A55">
      <w:pPr>
        <w:tabs>
          <w:tab w:val="left" w:pos="360"/>
        </w:tabs>
        <w:spacing w:after="0" w:line="276" w:lineRule="auto"/>
        <w:rPr>
          <w:szCs w:val="24"/>
        </w:rPr>
      </w:pPr>
      <w:r w:rsidRPr="00A532FD">
        <w:rPr>
          <w:rFonts w:cs="Times New Roman"/>
          <w:b/>
          <w:smallCaps/>
          <w:szCs w:val="24"/>
        </w:rPr>
        <w:t>Originating Court:</w:t>
      </w:r>
      <w:r w:rsidRPr="00A532FD">
        <w:rPr>
          <w:rFonts w:cs="Times New Roman"/>
          <w:b/>
          <w:smallCaps/>
          <w:szCs w:val="24"/>
        </w:rPr>
        <w:tab/>
      </w:r>
      <w:r>
        <w:rPr>
          <w:rFonts w:cs="Times New Roman"/>
          <w:szCs w:val="24"/>
        </w:rPr>
        <w:t>Stanford Town Court</w:t>
      </w:r>
      <w:r>
        <w:rPr>
          <w:rFonts w:cs="Times New Roman"/>
          <w:szCs w:val="24"/>
        </w:rPr>
        <w:tab/>
      </w:r>
      <w:r>
        <w:rPr>
          <w:rFonts w:cs="Times New Roman"/>
          <w:szCs w:val="24"/>
        </w:rPr>
        <w:tab/>
      </w:r>
      <w:r w:rsidRPr="00A532FD">
        <w:rPr>
          <w:rFonts w:cs="Times New Roman"/>
          <w:smallCaps/>
          <w:szCs w:val="24"/>
        </w:rPr>
        <w:t>Case No</w:t>
      </w:r>
      <w:r>
        <w:rPr>
          <w:rFonts w:cs="Times New Roman"/>
          <w:szCs w:val="24"/>
        </w:rPr>
        <w:t xml:space="preserve">: </w:t>
      </w:r>
      <w:r w:rsidR="00EF39CA" w:rsidRPr="00EF39CA">
        <w:rPr>
          <w:rFonts w:cs="Times New Roman"/>
          <w:szCs w:val="24"/>
          <w:highlight w:val="black"/>
        </w:rPr>
        <w:t>XXXXXXXX</w:t>
      </w:r>
    </w:p>
    <w:p w14:paraId="32C3F9E1" w14:textId="3F167934" w:rsidR="00CC7FC8" w:rsidRDefault="00A532FD" w:rsidP="00D05A55">
      <w:pPr>
        <w:tabs>
          <w:tab w:val="left" w:pos="360"/>
        </w:tabs>
        <w:spacing w:after="0" w:line="276" w:lineRule="auto"/>
      </w:pPr>
      <w:r>
        <w:tab/>
      </w:r>
      <w:r>
        <w:tab/>
      </w:r>
      <w:r>
        <w:tab/>
      </w:r>
      <w:r>
        <w:tab/>
      </w:r>
      <w:r w:rsidR="00F81AA6">
        <w:tab/>
      </w:r>
      <w:r>
        <w:t>PO Box 436 26 Town Court</w:t>
      </w:r>
    </w:p>
    <w:p w14:paraId="6E5E383A" w14:textId="5C348FFD" w:rsidR="00A532FD" w:rsidRDefault="00F81AA6" w:rsidP="00D05A55">
      <w:pPr>
        <w:tabs>
          <w:tab w:val="left" w:pos="360"/>
        </w:tabs>
        <w:spacing w:line="360" w:lineRule="auto"/>
      </w:pPr>
      <w:r>
        <w:tab/>
      </w:r>
      <w:r w:rsidR="00A532FD">
        <w:tab/>
      </w:r>
      <w:r w:rsidR="00A532FD">
        <w:tab/>
      </w:r>
      <w:r w:rsidR="00A532FD">
        <w:tab/>
      </w:r>
      <w:r w:rsidR="00A532FD">
        <w:tab/>
        <w:t>Stanfordville, NY. 12581</w:t>
      </w:r>
    </w:p>
    <w:p w14:paraId="14BE8FFB" w14:textId="77777777" w:rsidR="00A532FD" w:rsidRPr="00474B20" w:rsidRDefault="00A532FD" w:rsidP="00D05A55">
      <w:pPr>
        <w:tabs>
          <w:tab w:val="left" w:pos="360"/>
        </w:tabs>
        <w:spacing w:after="0" w:line="276" w:lineRule="auto"/>
        <w:rPr>
          <w:rFonts w:cs="Times New Roman"/>
          <w:szCs w:val="24"/>
        </w:rPr>
      </w:pPr>
      <w:r w:rsidRPr="00474B20">
        <w:rPr>
          <w:rFonts w:cs="Times New Roman"/>
          <w:szCs w:val="24"/>
        </w:rPr>
        <w:t>New York State</w:t>
      </w:r>
      <w:r w:rsidRPr="00474B20">
        <w:rPr>
          <w:rFonts w:cs="Times New Roman"/>
          <w:szCs w:val="24"/>
        </w:rPr>
        <w:tab/>
        <w:t>)</w:t>
      </w:r>
    </w:p>
    <w:p w14:paraId="6DA65FC1" w14:textId="6784BD6A" w:rsidR="00A532FD" w:rsidRPr="00474B20" w:rsidRDefault="00F81AA6" w:rsidP="00D05A55">
      <w:pPr>
        <w:tabs>
          <w:tab w:val="left" w:pos="360"/>
        </w:tabs>
        <w:spacing w:after="0" w:line="276" w:lineRule="auto"/>
        <w:rPr>
          <w:rFonts w:cs="Times New Roman"/>
          <w:szCs w:val="24"/>
        </w:rPr>
      </w:pPr>
      <w:r>
        <w:rPr>
          <w:rFonts w:cs="Times New Roman"/>
          <w:szCs w:val="24"/>
        </w:rPr>
        <w:tab/>
      </w:r>
      <w:r w:rsidR="00A532FD" w:rsidRPr="00474B20">
        <w:rPr>
          <w:rFonts w:cs="Times New Roman"/>
          <w:szCs w:val="24"/>
        </w:rPr>
        <w:tab/>
      </w:r>
      <w:r w:rsidR="00A532FD" w:rsidRPr="00474B20">
        <w:rPr>
          <w:rFonts w:cs="Times New Roman"/>
          <w:szCs w:val="24"/>
        </w:rPr>
        <w:tab/>
      </w:r>
      <w:r w:rsidR="00A532FD" w:rsidRPr="00474B20">
        <w:rPr>
          <w:rFonts w:cs="Times New Roman"/>
          <w:szCs w:val="24"/>
        </w:rPr>
        <w:tab/>
        <w:t>) SS</w:t>
      </w:r>
    </w:p>
    <w:p w14:paraId="22B46B92" w14:textId="77777777" w:rsidR="00A532FD" w:rsidRPr="00474B20" w:rsidRDefault="00A532FD" w:rsidP="00D05A55">
      <w:pPr>
        <w:tabs>
          <w:tab w:val="left" w:pos="360"/>
        </w:tabs>
        <w:spacing w:line="360" w:lineRule="auto"/>
        <w:rPr>
          <w:rFonts w:cs="Times New Roman"/>
          <w:szCs w:val="24"/>
        </w:rPr>
      </w:pPr>
      <w:r w:rsidRPr="00474B20">
        <w:rPr>
          <w:rFonts w:cs="Times New Roman"/>
          <w:szCs w:val="24"/>
        </w:rPr>
        <w:t>Dutchess County</w:t>
      </w:r>
      <w:r w:rsidRPr="00474B20">
        <w:rPr>
          <w:rFonts w:cs="Times New Roman"/>
          <w:szCs w:val="24"/>
        </w:rPr>
        <w:tab/>
        <w:t>)</w:t>
      </w:r>
    </w:p>
    <w:p w14:paraId="784B4AD0" w14:textId="6CC9224C" w:rsidR="00474B20" w:rsidRDefault="00474B20" w:rsidP="00D05A55">
      <w:pPr>
        <w:tabs>
          <w:tab w:val="left" w:pos="360"/>
        </w:tabs>
        <w:autoSpaceDE w:val="0"/>
        <w:autoSpaceDN w:val="0"/>
        <w:adjustRightInd w:val="0"/>
        <w:spacing w:line="360" w:lineRule="auto"/>
        <w:ind w:firstLine="720"/>
        <w:rPr>
          <w:szCs w:val="24"/>
        </w:rPr>
      </w:pPr>
      <w:r w:rsidRPr="00474B20">
        <w:rPr>
          <w:rFonts w:cs="Times New Roman"/>
          <w:szCs w:val="24"/>
        </w:rPr>
        <w:t xml:space="preserve">I, </w:t>
      </w:r>
      <w:r w:rsidR="00EF39CA" w:rsidRPr="00EF39CA">
        <w:rPr>
          <w:rFonts w:cs="Times New Roman"/>
          <w:szCs w:val="24"/>
          <w:highlight w:val="black"/>
        </w:rPr>
        <w:t>XXXXXXXXX</w:t>
      </w:r>
      <w:r w:rsidRPr="00474B20">
        <w:rPr>
          <w:rFonts w:cs="Times New Roman"/>
          <w:szCs w:val="24"/>
        </w:rPr>
        <w:t xml:space="preserve"> one of the </w:t>
      </w:r>
      <w:r w:rsidR="0065667D" w:rsidRPr="00474B20">
        <w:rPr>
          <w:rFonts w:cs="Times New Roman"/>
          <w:szCs w:val="24"/>
        </w:rPr>
        <w:t>People</w:t>
      </w:r>
      <w:r w:rsidR="0065667D" w:rsidRPr="00474B20">
        <w:rPr>
          <w:rStyle w:val="FootnoteReference"/>
          <w:rFonts w:cs="Times New Roman"/>
          <w:szCs w:val="24"/>
        </w:rPr>
        <w:footnoteReference w:id="2"/>
      </w:r>
      <w:r w:rsidR="0065667D" w:rsidRPr="00474B20">
        <w:rPr>
          <w:rFonts w:cs="Times New Roman"/>
          <w:szCs w:val="24"/>
        </w:rPr>
        <w:t xml:space="preserve"> of New York, hereinafter </w:t>
      </w:r>
      <w:r w:rsidR="00D03004">
        <w:t>p</w:t>
      </w:r>
      <w:r w:rsidR="00D03004" w:rsidRPr="00D03004">
        <w:t>etitioner</w:t>
      </w:r>
      <w:r w:rsidR="0065667D" w:rsidRPr="00474B20">
        <w:rPr>
          <w:rFonts w:cs="Times New Roman"/>
          <w:szCs w:val="24"/>
        </w:rPr>
        <w:t>, in this court of record, hereby give</w:t>
      </w:r>
      <w:r w:rsidR="00146CF2">
        <w:rPr>
          <w:rFonts w:cs="Times New Roman"/>
          <w:szCs w:val="24"/>
        </w:rPr>
        <w:t>s</w:t>
      </w:r>
      <w:r w:rsidR="0065667D" w:rsidRPr="00474B20">
        <w:rPr>
          <w:rFonts w:cs="Times New Roman"/>
          <w:szCs w:val="24"/>
        </w:rPr>
        <w:t xml:space="preserve"> Notice of the Removal from the above said court of origin to the above </w:t>
      </w:r>
      <w:r w:rsidR="003B3E13">
        <w:rPr>
          <w:rFonts w:cs="Times New Roman"/>
          <w:szCs w:val="24"/>
        </w:rPr>
        <w:t xml:space="preserve">said </w:t>
      </w:r>
      <w:r>
        <w:rPr>
          <w:rFonts w:cs="Times New Roman"/>
          <w:szCs w:val="24"/>
        </w:rPr>
        <w:t>State</w:t>
      </w:r>
      <w:r w:rsidR="0065667D" w:rsidRPr="00474B20">
        <w:rPr>
          <w:rFonts w:cs="Times New Roman"/>
          <w:szCs w:val="24"/>
        </w:rPr>
        <w:t xml:space="preserve"> </w:t>
      </w:r>
      <w:r>
        <w:rPr>
          <w:rFonts w:cs="Times New Roman"/>
          <w:szCs w:val="24"/>
        </w:rPr>
        <w:t>C</w:t>
      </w:r>
      <w:r w:rsidR="0065667D" w:rsidRPr="00474B20">
        <w:rPr>
          <w:rFonts w:cs="Times New Roman"/>
          <w:szCs w:val="24"/>
        </w:rPr>
        <w:t xml:space="preserve">ourt </w:t>
      </w:r>
      <w:r w:rsidR="00CC4925">
        <w:rPr>
          <w:szCs w:val="24"/>
        </w:rPr>
        <w:t>in the interest of Justice</w:t>
      </w:r>
      <w:r w:rsidR="00CC4925" w:rsidRPr="00474B20">
        <w:rPr>
          <w:rFonts w:cs="Times New Roman"/>
          <w:szCs w:val="24"/>
        </w:rPr>
        <w:t xml:space="preserve"> </w:t>
      </w:r>
      <w:r w:rsidR="0065667D" w:rsidRPr="00474B20">
        <w:rPr>
          <w:rFonts w:cs="Times New Roman"/>
          <w:szCs w:val="24"/>
        </w:rPr>
        <w:t xml:space="preserve">for cause pursuant </w:t>
      </w:r>
      <w:r w:rsidRPr="00474B20">
        <w:rPr>
          <w:szCs w:val="24"/>
        </w:rPr>
        <w:t>NYC §19</w:t>
      </w:r>
      <w:r w:rsidR="00CC4925">
        <w:rPr>
          <w:szCs w:val="24"/>
        </w:rPr>
        <w:t>(</w:t>
      </w:r>
      <w:r w:rsidRPr="00474B20">
        <w:rPr>
          <w:szCs w:val="24"/>
        </w:rPr>
        <w:t>c</w:t>
      </w:r>
      <w:r w:rsidR="00CC4925">
        <w:rPr>
          <w:szCs w:val="24"/>
        </w:rPr>
        <w:t>)</w:t>
      </w:r>
      <w:r w:rsidR="002B2516">
        <w:rPr>
          <w:szCs w:val="24"/>
        </w:rPr>
        <w:t>.</w:t>
      </w:r>
      <w:r w:rsidRPr="00474B20">
        <w:rPr>
          <w:szCs w:val="24"/>
        </w:rPr>
        <w:t xml:space="preserve"> </w:t>
      </w:r>
    </w:p>
    <w:p w14:paraId="0582C984" w14:textId="239CF97E" w:rsidR="0065667D" w:rsidRDefault="0065667D" w:rsidP="00D05A55">
      <w:pPr>
        <w:pStyle w:val="NormalWeb"/>
        <w:tabs>
          <w:tab w:val="left" w:pos="360"/>
        </w:tabs>
        <w:spacing w:after="160" w:afterAutospacing="0" w:line="360" w:lineRule="auto"/>
        <w:ind w:firstLine="720"/>
        <w:jc w:val="both"/>
        <w:rPr>
          <w:rFonts w:ascii="Georgia" w:hAnsi="Georgia"/>
        </w:rPr>
      </w:pPr>
      <w:r w:rsidRPr="002E336F">
        <w:rPr>
          <w:rFonts w:ascii="Georgia" w:hAnsi="Georgia"/>
        </w:rPr>
        <w:t>Whereas</w:t>
      </w:r>
      <w:r w:rsidR="007D6125">
        <w:rPr>
          <w:rFonts w:ascii="Georgia" w:hAnsi="Georgia"/>
        </w:rPr>
        <w:t xml:space="preserve">, </w:t>
      </w:r>
      <w:r w:rsidR="007D6125" w:rsidRPr="007D6125">
        <w:rPr>
          <w:rFonts w:ascii="Georgia" w:hAnsi="Georgia"/>
        </w:rPr>
        <w:t>collectively</w:t>
      </w:r>
      <w:r w:rsidR="007D6125">
        <w:rPr>
          <w:rFonts w:ascii="Georgia" w:hAnsi="Georgia"/>
        </w:rPr>
        <w:t xml:space="preserve"> </w:t>
      </w:r>
      <w:r w:rsidR="002B2516">
        <w:rPr>
          <w:rFonts w:ascii="Georgia" w:hAnsi="Georgia"/>
        </w:rPr>
        <w:t xml:space="preserve">Judge </w:t>
      </w:r>
      <w:r w:rsidR="00474B20" w:rsidRPr="00474B20">
        <w:rPr>
          <w:rFonts w:ascii="Georgia" w:hAnsi="Georgia"/>
        </w:rPr>
        <w:t xml:space="preserve">Dennis E Smith, </w:t>
      </w:r>
      <w:r w:rsidR="002B2516">
        <w:rPr>
          <w:rFonts w:ascii="Georgia" w:hAnsi="Georgia"/>
        </w:rPr>
        <w:t xml:space="preserve">Prosecutor </w:t>
      </w:r>
      <w:r w:rsidR="00474B20" w:rsidRPr="00474B20">
        <w:rPr>
          <w:rFonts w:ascii="Georgia" w:hAnsi="Georgia"/>
        </w:rPr>
        <w:t xml:space="preserve">William Grady, </w:t>
      </w:r>
      <w:r w:rsidR="002B2516">
        <w:rPr>
          <w:rFonts w:ascii="Georgia" w:hAnsi="Georgia"/>
        </w:rPr>
        <w:t xml:space="preserve">and Court Clerk </w:t>
      </w:r>
      <w:r w:rsidR="00474B20" w:rsidRPr="00474B20">
        <w:rPr>
          <w:rFonts w:ascii="Georgia" w:hAnsi="Georgia"/>
        </w:rPr>
        <w:t xml:space="preserve">Carolyn </w:t>
      </w:r>
      <w:proofErr w:type="spellStart"/>
      <w:r w:rsidR="00474B20" w:rsidRPr="00474B20">
        <w:rPr>
          <w:rFonts w:ascii="Georgia" w:hAnsi="Georgia"/>
        </w:rPr>
        <w:t>Harkerode</w:t>
      </w:r>
      <w:proofErr w:type="spellEnd"/>
      <w:r w:rsidRPr="00474B20">
        <w:rPr>
          <w:rFonts w:ascii="Georgia" w:hAnsi="Georgia"/>
        </w:rPr>
        <w:t xml:space="preserve"> hereinafter </w:t>
      </w:r>
      <w:r w:rsidR="007D6125">
        <w:rPr>
          <w:rFonts w:ascii="Georgia" w:hAnsi="Georgia"/>
        </w:rPr>
        <w:t>respon</w:t>
      </w:r>
      <w:r w:rsidRPr="00474B20">
        <w:rPr>
          <w:rFonts w:ascii="Georgia" w:hAnsi="Georgia"/>
        </w:rPr>
        <w:t>d</w:t>
      </w:r>
      <w:r w:rsidR="007D6125">
        <w:rPr>
          <w:rFonts w:ascii="Georgia" w:hAnsi="Georgia"/>
        </w:rPr>
        <w:t>e</w:t>
      </w:r>
      <w:r w:rsidRPr="00474B20">
        <w:rPr>
          <w:rFonts w:ascii="Georgia" w:hAnsi="Georgia"/>
        </w:rPr>
        <w:t xml:space="preserve">nts, </w:t>
      </w:r>
      <w:r w:rsidR="00474B20">
        <w:rPr>
          <w:rFonts w:ascii="Georgia" w:hAnsi="Georgia"/>
        </w:rPr>
        <w:t>violat</w:t>
      </w:r>
      <w:r w:rsidR="00D05A55">
        <w:rPr>
          <w:rFonts w:ascii="Georgia" w:hAnsi="Georgia"/>
        </w:rPr>
        <w:t>ed</w:t>
      </w:r>
      <w:r w:rsidR="00474B20">
        <w:rPr>
          <w:rFonts w:ascii="Georgia" w:hAnsi="Georgia"/>
        </w:rPr>
        <w:t xml:space="preserve"> plaintiffs right of due process protected by Amendment V of the U.S. Constitution and N.Y. Constitution Article 1 §6 paragraph </w:t>
      </w:r>
      <w:r w:rsidR="0058604D">
        <w:rPr>
          <w:rFonts w:ascii="Georgia" w:hAnsi="Georgia"/>
        </w:rPr>
        <w:t>2</w:t>
      </w:r>
      <w:r w:rsidR="00F81AA6">
        <w:rPr>
          <w:rFonts w:ascii="Georgia" w:hAnsi="Georgia"/>
        </w:rPr>
        <w:t>, when respondents concealed or removed petitioners “Jurisdictional Challenge.”</w:t>
      </w:r>
      <w:r w:rsidR="0058604D">
        <w:rPr>
          <w:rFonts w:ascii="Georgia" w:hAnsi="Georgia"/>
        </w:rPr>
        <w:t xml:space="preserve"> </w:t>
      </w:r>
      <w:r w:rsidRPr="00474B20">
        <w:rPr>
          <w:rFonts w:ascii="Georgia" w:hAnsi="Georgia"/>
        </w:rPr>
        <w:t>P</w:t>
      </w:r>
      <w:r w:rsidR="00F81AA6">
        <w:rPr>
          <w:rFonts w:ascii="Georgia" w:hAnsi="Georgia"/>
        </w:rPr>
        <w:t>etitioner</w:t>
      </w:r>
      <w:r w:rsidRPr="00474B20">
        <w:rPr>
          <w:rFonts w:ascii="Georgia" w:hAnsi="Georgia"/>
        </w:rPr>
        <w:t xml:space="preserve"> being</w:t>
      </w:r>
      <w:r w:rsidR="00CC4925">
        <w:rPr>
          <w:rFonts w:ascii="Georgia" w:hAnsi="Georgia"/>
        </w:rPr>
        <w:t xml:space="preserve"> a</w:t>
      </w:r>
      <w:r w:rsidRPr="00474B20">
        <w:rPr>
          <w:rFonts w:ascii="Georgia" w:hAnsi="Georgia"/>
        </w:rPr>
        <w:t xml:space="preserve"> natural pe</w:t>
      </w:r>
      <w:r w:rsidR="00CC4925">
        <w:rPr>
          <w:rFonts w:ascii="Georgia" w:hAnsi="Georgia"/>
        </w:rPr>
        <w:t>rson</w:t>
      </w:r>
      <w:r w:rsidR="00980586">
        <w:rPr>
          <w:rFonts w:ascii="Georgia" w:hAnsi="Georgia"/>
        </w:rPr>
        <w:t xml:space="preserve"> having no prior agreement with any government agency or commercial activities,</w:t>
      </w:r>
      <w:r w:rsidRPr="00474B20">
        <w:rPr>
          <w:rFonts w:ascii="Georgia" w:hAnsi="Georgia"/>
        </w:rPr>
        <w:t xml:space="preserve"> preserve</w:t>
      </w:r>
      <w:r w:rsidR="00AF334E">
        <w:rPr>
          <w:rFonts w:ascii="Georgia" w:hAnsi="Georgia"/>
        </w:rPr>
        <w:t>’</w:t>
      </w:r>
      <w:r w:rsidRPr="00474B20">
        <w:rPr>
          <w:rFonts w:ascii="Georgia" w:hAnsi="Georgia"/>
        </w:rPr>
        <w:t>s jurisdiction stated above.</w:t>
      </w:r>
    </w:p>
    <w:p w14:paraId="202DEE55" w14:textId="549AF896" w:rsidR="00BB1BB7" w:rsidRDefault="005C5F3E" w:rsidP="00D05A55">
      <w:pPr>
        <w:tabs>
          <w:tab w:val="left" w:pos="360"/>
        </w:tabs>
        <w:spacing w:line="360" w:lineRule="auto"/>
        <w:rPr>
          <w:szCs w:val="24"/>
        </w:rPr>
      </w:pPr>
      <w:r w:rsidRPr="00C95D0A">
        <w:rPr>
          <w:szCs w:val="24"/>
        </w:rPr>
        <w:lastRenderedPageBreak/>
        <w:tab/>
        <w:t>This Action at Law is founded upon a denial of plaintiff</w:t>
      </w:r>
      <w:r w:rsidR="00AF334E">
        <w:rPr>
          <w:szCs w:val="24"/>
        </w:rPr>
        <w:t>’</w:t>
      </w:r>
      <w:r w:rsidRPr="00C95D0A">
        <w:rPr>
          <w:szCs w:val="24"/>
        </w:rPr>
        <w:t xml:space="preserve">s unalienable right of Due Process protected by the US. Bill of Rights </w:t>
      </w:r>
      <w:r w:rsidR="00D93ED1">
        <w:rPr>
          <w:szCs w:val="24"/>
        </w:rPr>
        <w:t>5</w:t>
      </w:r>
      <w:r w:rsidR="00D93ED1" w:rsidRPr="00D93ED1">
        <w:rPr>
          <w:szCs w:val="24"/>
          <w:vertAlign w:val="superscript"/>
        </w:rPr>
        <w:t>th</w:t>
      </w:r>
      <w:r w:rsidR="00D93ED1">
        <w:rPr>
          <w:szCs w:val="24"/>
        </w:rPr>
        <w:t xml:space="preserve"> Amendment, </w:t>
      </w:r>
      <w:r w:rsidRPr="00C95D0A">
        <w:rPr>
          <w:szCs w:val="24"/>
        </w:rPr>
        <w:t>7</w:t>
      </w:r>
      <w:r w:rsidRPr="00C95D0A">
        <w:rPr>
          <w:szCs w:val="24"/>
          <w:vertAlign w:val="superscript"/>
        </w:rPr>
        <w:t>th</w:t>
      </w:r>
      <w:r w:rsidRPr="00C95D0A">
        <w:rPr>
          <w:szCs w:val="24"/>
        </w:rPr>
        <w:t xml:space="preserve"> Amendment NYS. Constitution Article I §</w:t>
      </w:r>
      <w:r w:rsidR="00D93ED1">
        <w:rPr>
          <w:szCs w:val="24"/>
        </w:rPr>
        <w:t xml:space="preserve">2 and </w:t>
      </w:r>
      <w:r w:rsidR="00D93ED1" w:rsidRPr="00C95D0A">
        <w:rPr>
          <w:szCs w:val="24"/>
        </w:rPr>
        <w:t>§</w:t>
      </w:r>
      <w:r w:rsidR="00D93ED1">
        <w:rPr>
          <w:szCs w:val="24"/>
        </w:rPr>
        <w:t>6</w:t>
      </w:r>
      <w:r w:rsidRPr="00C95D0A">
        <w:rPr>
          <w:szCs w:val="24"/>
        </w:rPr>
        <w:t>. Blacks Law defines due course of law stating;</w:t>
      </w:r>
    </w:p>
    <w:p w14:paraId="43B83ECC" w14:textId="70989E01" w:rsidR="005C5F3E" w:rsidRPr="000C67A0" w:rsidRDefault="00AF334E" w:rsidP="00D05A55">
      <w:pPr>
        <w:tabs>
          <w:tab w:val="left" w:pos="360"/>
        </w:tabs>
        <w:spacing w:line="276" w:lineRule="auto"/>
        <w:ind w:left="720" w:right="720"/>
        <w:rPr>
          <w:i/>
          <w:iCs/>
          <w:szCs w:val="24"/>
        </w:rPr>
      </w:pPr>
      <w:r>
        <w:rPr>
          <w:szCs w:val="24"/>
        </w:rPr>
        <w:t>“</w:t>
      </w:r>
      <w:r w:rsidR="005C5F3E" w:rsidRPr="000C67A0">
        <w:rPr>
          <w:i/>
          <w:iCs/>
          <w:szCs w:val="24"/>
        </w:rPr>
        <w:t>This phrase is synonymous with</w:t>
      </w:r>
      <w:r w:rsidR="005C5F3E" w:rsidRPr="00C95D0A">
        <w:rPr>
          <w:szCs w:val="24"/>
        </w:rPr>
        <w:t xml:space="preserve"> </w:t>
      </w:r>
      <w:r>
        <w:rPr>
          <w:szCs w:val="24"/>
        </w:rPr>
        <w:t>“</w:t>
      </w:r>
      <w:r w:rsidR="005C5F3E" w:rsidRPr="000C67A0">
        <w:rPr>
          <w:i/>
          <w:iCs/>
          <w:szCs w:val="24"/>
        </w:rPr>
        <w:t>due process of law</w:t>
      </w:r>
      <w:r>
        <w:rPr>
          <w:szCs w:val="24"/>
        </w:rPr>
        <w:t>”</w:t>
      </w:r>
      <w:r w:rsidR="005C5F3E" w:rsidRPr="00C95D0A">
        <w:rPr>
          <w:szCs w:val="24"/>
        </w:rPr>
        <w:t xml:space="preserve"> </w:t>
      </w:r>
      <w:r w:rsidR="005C5F3E" w:rsidRPr="000C67A0">
        <w:rPr>
          <w:i/>
          <w:iCs/>
          <w:szCs w:val="24"/>
        </w:rPr>
        <w:t>or</w:t>
      </w:r>
      <w:r w:rsidR="005C5F3E" w:rsidRPr="00C95D0A">
        <w:rPr>
          <w:szCs w:val="24"/>
        </w:rPr>
        <w:t xml:space="preserve"> </w:t>
      </w:r>
      <w:r>
        <w:rPr>
          <w:szCs w:val="24"/>
        </w:rPr>
        <w:t>“</w:t>
      </w:r>
      <w:r w:rsidR="005C5F3E" w:rsidRPr="000C67A0">
        <w:rPr>
          <w:i/>
          <w:iCs/>
          <w:szCs w:val="24"/>
        </w:rPr>
        <w:t>law of the land</w:t>
      </w:r>
      <w:r>
        <w:rPr>
          <w:szCs w:val="24"/>
        </w:rPr>
        <w:t>”</w:t>
      </w:r>
      <w:r w:rsidR="005C5F3E" w:rsidRPr="00C95D0A">
        <w:rPr>
          <w:szCs w:val="24"/>
        </w:rPr>
        <w:t xml:space="preserve"> </w:t>
      </w:r>
      <w:r w:rsidR="005C5F3E" w:rsidRPr="000C67A0">
        <w:rPr>
          <w:i/>
          <w:iCs/>
          <w:szCs w:val="24"/>
        </w:rPr>
        <w:t>and means law in its regular course of administration through Courts of Justice.</w:t>
      </w:r>
      <w:r>
        <w:rPr>
          <w:i/>
          <w:iCs/>
          <w:szCs w:val="24"/>
        </w:rPr>
        <w:t>”</w:t>
      </w:r>
      <w:r w:rsidR="005C5F3E" w:rsidRPr="000C67A0">
        <w:rPr>
          <w:rStyle w:val="FootnoteReference"/>
          <w:i/>
          <w:iCs/>
          <w:szCs w:val="24"/>
        </w:rPr>
        <w:footnoteReference w:id="3"/>
      </w:r>
      <w:r w:rsidR="005C5F3E" w:rsidRPr="000C67A0">
        <w:rPr>
          <w:i/>
          <w:iCs/>
          <w:szCs w:val="24"/>
        </w:rPr>
        <w:t xml:space="preserve"> </w:t>
      </w:r>
      <w:r>
        <w:rPr>
          <w:i/>
          <w:iCs/>
          <w:szCs w:val="24"/>
        </w:rPr>
        <w:t>“</w:t>
      </w:r>
      <w:r w:rsidR="005C5F3E" w:rsidRPr="000C67A0">
        <w:rPr>
          <w:i/>
          <w:iCs/>
          <w:szCs w:val="24"/>
        </w:rPr>
        <w:t>By the law of the land is more clearly intended the general law, a law which hears before it condemns; which proceeds upon inquiry and renders judgment only after trial.</w:t>
      </w:r>
      <w:r>
        <w:rPr>
          <w:i/>
          <w:iCs/>
          <w:szCs w:val="24"/>
        </w:rPr>
        <w:t>”</w:t>
      </w:r>
      <w:r w:rsidR="005C5F3E" w:rsidRPr="000C67A0">
        <w:rPr>
          <w:rStyle w:val="FootnoteReference"/>
          <w:i/>
          <w:iCs/>
          <w:szCs w:val="24"/>
        </w:rPr>
        <w:footnoteReference w:id="4"/>
      </w:r>
      <w:r w:rsidR="005C5F3E" w:rsidRPr="000C67A0">
        <w:rPr>
          <w:i/>
          <w:iCs/>
          <w:szCs w:val="24"/>
        </w:rPr>
        <w:t xml:space="preserve"> </w:t>
      </w:r>
      <w:r>
        <w:rPr>
          <w:i/>
          <w:iCs/>
          <w:szCs w:val="24"/>
        </w:rPr>
        <w:t>“</w:t>
      </w:r>
      <w:r w:rsidR="005C5F3E" w:rsidRPr="000C67A0">
        <w:rPr>
          <w:i/>
          <w:iCs/>
          <w:szCs w:val="24"/>
        </w:rPr>
        <w:t>Law in its regular course of administration through courts of justice is due process.</w:t>
      </w:r>
      <w:r>
        <w:rPr>
          <w:i/>
          <w:iCs/>
          <w:szCs w:val="24"/>
        </w:rPr>
        <w:t>”</w:t>
      </w:r>
      <w:r w:rsidR="005C5F3E" w:rsidRPr="000C67A0">
        <w:rPr>
          <w:rStyle w:val="FootnoteReference"/>
          <w:i/>
          <w:iCs/>
          <w:szCs w:val="24"/>
        </w:rPr>
        <w:footnoteReference w:id="5"/>
      </w:r>
      <w:r w:rsidR="005C5F3E" w:rsidRPr="000C67A0">
        <w:rPr>
          <w:i/>
          <w:iCs/>
          <w:szCs w:val="24"/>
        </w:rPr>
        <w:t xml:space="preserve"> </w:t>
      </w:r>
    </w:p>
    <w:p w14:paraId="608F0860" w14:textId="424EAAE7" w:rsidR="00260C5D" w:rsidRDefault="005C5F3E" w:rsidP="00D05A55">
      <w:pPr>
        <w:tabs>
          <w:tab w:val="left" w:pos="360"/>
        </w:tabs>
        <w:spacing w:line="360" w:lineRule="auto"/>
        <w:rPr>
          <w:rFonts w:cs="Times New Roman"/>
          <w:szCs w:val="24"/>
        </w:rPr>
      </w:pPr>
      <w:r w:rsidRPr="009740AF">
        <w:rPr>
          <w:szCs w:val="24"/>
        </w:rPr>
        <w:tab/>
      </w:r>
      <w:r w:rsidR="000C67A0">
        <w:rPr>
          <w:szCs w:val="24"/>
        </w:rPr>
        <w:t>T</w:t>
      </w:r>
      <w:r w:rsidR="00E17087">
        <w:rPr>
          <w:szCs w:val="24"/>
        </w:rPr>
        <w:t>own courts are</w:t>
      </w:r>
      <w:r w:rsidR="00BB1BB7">
        <w:rPr>
          <w:szCs w:val="24"/>
        </w:rPr>
        <w:t xml:space="preserve"> not courts of record but are in fact </w:t>
      </w:r>
      <w:r w:rsidR="00AF334E">
        <w:rPr>
          <w:szCs w:val="24"/>
        </w:rPr>
        <w:t>“</w:t>
      </w:r>
      <w:r w:rsidR="00E17087" w:rsidRPr="00BB1BB7">
        <w:rPr>
          <w:szCs w:val="24"/>
          <w:u w:val="single"/>
        </w:rPr>
        <w:t>nisi</w:t>
      </w:r>
      <w:r w:rsidR="005828C0" w:rsidRPr="00BB1BB7">
        <w:rPr>
          <w:rStyle w:val="FootnoteReference"/>
          <w:szCs w:val="24"/>
          <w:u w:val="single"/>
        </w:rPr>
        <w:footnoteReference w:id="6"/>
      </w:r>
      <w:r w:rsidR="00E17087" w:rsidRPr="00BB1BB7">
        <w:rPr>
          <w:szCs w:val="24"/>
          <w:u w:val="single"/>
        </w:rPr>
        <w:t xml:space="preserve"> prius</w:t>
      </w:r>
      <w:r w:rsidR="005828C0" w:rsidRPr="00BB1BB7">
        <w:rPr>
          <w:rStyle w:val="FootnoteReference"/>
          <w:szCs w:val="24"/>
          <w:u w:val="single"/>
        </w:rPr>
        <w:footnoteReference w:id="7"/>
      </w:r>
      <w:r w:rsidR="00E17087" w:rsidRPr="00BB1BB7">
        <w:rPr>
          <w:szCs w:val="24"/>
          <w:u w:val="single"/>
        </w:rPr>
        <w:t xml:space="preserve"> court</w:t>
      </w:r>
      <w:r w:rsidR="005828C0" w:rsidRPr="00BB1BB7">
        <w:rPr>
          <w:szCs w:val="24"/>
          <w:u w:val="single"/>
        </w:rPr>
        <w:t>s</w:t>
      </w:r>
      <w:r w:rsidR="00AF334E">
        <w:rPr>
          <w:szCs w:val="24"/>
        </w:rPr>
        <w:t>”</w:t>
      </w:r>
      <w:r w:rsidR="00E17087">
        <w:rPr>
          <w:szCs w:val="24"/>
        </w:rPr>
        <w:t xml:space="preserve"> w</w:t>
      </w:r>
      <w:r w:rsidR="005828C0">
        <w:rPr>
          <w:szCs w:val="24"/>
        </w:rPr>
        <w:t xml:space="preserve">hich </w:t>
      </w:r>
      <w:r w:rsidR="005828C0" w:rsidRPr="005828C0">
        <w:rPr>
          <w:szCs w:val="24"/>
        </w:rPr>
        <w:t>means</w:t>
      </w:r>
      <w:r w:rsidR="005828C0">
        <w:rPr>
          <w:szCs w:val="24"/>
        </w:rPr>
        <w:t xml:space="preserve"> </w:t>
      </w:r>
      <w:r w:rsidR="00AF334E">
        <w:rPr>
          <w:szCs w:val="24"/>
        </w:rPr>
        <w:t>“</w:t>
      </w:r>
      <w:r w:rsidR="005828C0" w:rsidRPr="00BB1BB7">
        <w:rPr>
          <w:szCs w:val="24"/>
          <w:u w:val="single"/>
        </w:rPr>
        <w:t>unless first</w:t>
      </w:r>
      <w:r w:rsidR="0088142A">
        <w:rPr>
          <w:szCs w:val="24"/>
        </w:rPr>
        <w:t>,</w:t>
      </w:r>
      <w:r w:rsidR="00AF334E">
        <w:rPr>
          <w:szCs w:val="24"/>
        </w:rPr>
        <w:t>”</w:t>
      </w:r>
      <w:r w:rsidR="005828C0">
        <w:rPr>
          <w:szCs w:val="24"/>
        </w:rPr>
        <w:t xml:space="preserve"> </w:t>
      </w:r>
      <w:r w:rsidR="0088142A">
        <w:rPr>
          <w:szCs w:val="24"/>
        </w:rPr>
        <w:t xml:space="preserve">thereby requiring a plea in order to give jurisdiction to said court. </w:t>
      </w:r>
      <w:r w:rsidR="00BB1BB7" w:rsidRPr="00D03004">
        <w:rPr>
          <w:szCs w:val="24"/>
        </w:rPr>
        <w:t>W</w:t>
      </w:r>
      <w:r w:rsidR="005828C0" w:rsidRPr="00D03004">
        <w:rPr>
          <w:szCs w:val="24"/>
        </w:rPr>
        <w:t>hereas</w:t>
      </w:r>
      <w:r w:rsidR="005828C0">
        <w:rPr>
          <w:szCs w:val="24"/>
        </w:rPr>
        <w:t xml:space="preserve">, </w:t>
      </w:r>
      <w:r w:rsidR="00D03004">
        <w:t>p</w:t>
      </w:r>
      <w:r w:rsidR="00D03004" w:rsidRPr="00D03004">
        <w:t>etitioner</w:t>
      </w:r>
      <w:r w:rsidR="00D03004">
        <w:rPr>
          <w:szCs w:val="24"/>
        </w:rPr>
        <w:t xml:space="preserve"> </w:t>
      </w:r>
      <w:r w:rsidR="00BB1BB7">
        <w:rPr>
          <w:szCs w:val="24"/>
        </w:rPr>
        <w:t>has not pleaded and responded by special appearance</w:t>
      </w:r>
      <w:r w:rsidR="00AF334E">
        <w:rPr>
          <w:rFonts w:cs="Times New Roman"/>
          <w:szCs w:val="24"/>
        </w:rPr>
        <w:t>”</w:t>
      </w:r>
      <w:r w:rsidR="00BB1BB7" w:rsidRPr="00182361">
        <w:rPr>
          <w:rStyle w:val="FootnoteReference"/>
          <w:rFonts w:cs="Times New Roman"/>
          <w:szCs w:val="24"/>
        </w:rPr>
        <w:footnoteReference w:id="8"/>
      </w:r>
      <w:r w:rsidR="00D03004">
        <w:rPr>
          <w:rFonts w:cs="Times New Roman"/>
          <w:szCs w:val="24"/>
        </w:rPr>
        <w:t xml:space="preserve"> </w:t>
      </w:r>
      <w:r w:rsidR="00BB1BB7" w:rsidRPr="00182361">
        <w:rPr>
          <w:rFonts w:cs="Times New Roman"/>
          <w:szCs w:val="24"/>
        </w:rPr>
        <w:t xml:space="preserve">for the purpose of testing the sufficiency of the jurisdiction of the </w:t>
      </w:r>
      <w:r w:rsidR="00AF334E">
        <w:rPr>
          <w:rFonts w:cs="Times New Roman"/>
          <w:szCs w:val="24"/>
        </w:rPr>
        <w:t>“</w:t>
      </w:r>
      <w:r w:rsidR="000C67A0">
        <w:rPr>
          <w:szCs w:val="24"/>
        </w:rPr>
        <w:t>N</w:t>
      </w:r>
      <w:r w:rsidR="00BB1BB7" w:rsidRPr="00A924DB">
        <w:rPr>
          <w:szCs w:val="24"/>
        </w:rPr>
        <w:t xml:space="preserve">isi </w:t>
      </w:r>
      <w:r w:rsidR="000C67A0">
        <w:rPr>
          <w:szCs w:val="24"/>
        </w:rPr>
        <w:t>P</w:t>
      </w:r>
      <w:r w:rsidR="00BB1BB7" w:rsidRPr="00A924DB">
        <w:rPr>
          <w:szCs w:val="24"/>
        </w:rPr>
        <w:t>rius</w:t>
      </w:r>
      <w:r w:rsidR="00BB1BB7" w:rsidRPr="00A924DB">
        <w:rPr>
          <w:rFonts w:cs="Times New Roman"/>
          <w:szCs w:val="24"/>
        </w:rPr>
        <w:t xml:space="preserve"> </w:t>
      </w:r>
      <w:r w:rsidR="00BB1BB7">
        <w:rPr>
          <w:rFonts w:cs="Times New Roman"/>
          <w:szCs w:val="24"/>
        </w:rPr>
        <w:t>Stanford Town Court</w:t>
      </w:r>
      <w:r w:rsidR="0088142A">
        <w:rPr>
          <w:rFonts w:cs="Times New Roman"/>
          <w:szCs w:val="24"/>
        </w:rPr>
        <w:t>;</w:t>
      </w:r>
      <w:r w:rsidR="00AF334E">
        <w:rPr>
          <w:rFonts w:cs="Times New Roman"/>
          <w:szCs w:val="24"/>
        </w:rPr>
        <w:t>”</w:t>
      </w:r>
      <w:r w:rsidR="00BB1BB7" w:rsidRPr="00182361">
        <w:rPr>
          <w:rStyle w:val="FootnoteReference"/>
          <w:rFonts w:cs="Times New Roman"/>
          <w:szCs w:val="24"/>
        </w:rPr>
        <w:footnoteReference w:id="9"/>
      </w:r>
      <w:r w:rsidR="00BB1BB7" w:rsidRPr="00182361">
        <w:rPr>
          <w:rFonts w:cs="Times New Roman"/>
          <w:szCs w:val="24"/>
        </w:rPr>
        <w:t xml:space="preserve"> </w:t>
      </w:r>
      <w:r w:rsidR="003B3E13">
        <w:rPr>
          <w:rFonts w:cs="Times New Roman"/>
          <w:szCs w:val="24"/>
        </w:rPr>
        <w:t>T</w:t>
      </w:r>
      <w:r w:rsidR="000C67A0">
        <w:rPr>
          <w:rFonts w:cs="Times New Roman"/>
          <w:szCs w:val="24"/>
        </w:rPr>
        <w:t>hereby challenging personam jurisdiction over the petitioner</w:t>
      </w:r>
      <w:r w:rsidR="00D03004">
        <w:rPr>
          <w:rFonts w:cs="Times New Roman"/>
          <w:szCs w:val="24"/>
        </w:rPr>
        <w:t xml:space="preserve">, see </w:t>
      </w:r>
      <w:r w:rsidR="00387B56">
        <w:rPr>
          <w:rFonts w:cs="Times New Roman"/>
          <w:szCs w:val="24"/>
        </w:rPr>
        <w:t>“</w:t>
      </w:r>
      <w:r w:rsidR="00D03004" w:rsidRPr="003B3E13">
        <w:rPr>
          <w:rFonts w:cs="Times New Roman"/>
          <w:color w:val="FF0000"/>
          <w:szCs w:val="24"/>
        </w:rPr>
        <w:t>Verified Jurisdictional Challenge</w:t>
      </w:r>
      <w:r w:rsidR="00387B56">
        <w:rPr>
          <w:rFonts w:cs="Times New Roman"/>
          <w:color w:val="FF0000"/>
          <w:szCs w:val="24"/>
        </w:rPr>
        <w:t>,” dated March 25, 2024,</w:t>
      </w:r>
      <w:r w:rsidR="00D03004">
        <w:rPr>
          <w:rFonts w:cs="Times New Roman"/>
          <w:szCs w:val="24"/>
        </w:rPr>
        <w:t xml:space="preserve"> </w:t>
      </w:r>
      <w:r w:rsidR="00D03004" w:rsidRPr="003B3E13">
        <w:rPr>
          <w:rFonts w:cs="Times New Roman"/>
          <w:color w:val="FF0000"/>
          <w:szCs w:val="24"/>
        </w:rPr>
        <w:t>attached</w:t>
      </w:r>
      <w:r w:rsidR="0088142A">
        <w:rPr>
          <w:rFonts w:cs="Times New Roman"/>
          <w:szCs w:val="24"/>
        </w:rPr>
        <w:t>.</w:t>
      </w:r>
      <w:r w:rsidR="00260C5D">
        <w:rPr>
          <w:rFonts w:cs="Times New Roman"/>
          <w:szCs w:val="24"/>
        </w:rPr>
        <w:t xml:space="preserve"> The following federal and state courts decision all agree that once jurisdiction is challenged, they must prove they have jurisdiction.</w:t>
      </w:r>
    </w:p>
    <w:p w14:paraId="5ABAC006" w14:textId="36CF73B0" w:rsidR="0088142A" w:rsidRDefault="00AF334E" w:rsidP="00D05A55">
      <w:pPr>
        <w:tabs>
          <w:tab w:val="left" w:pos="360"/>
        </w:tabs>
        <w:spacing w:line="276" w:lineRule="auto"/>
        <w:ind w:left="720" w:right="720"/>
        <w:rPr>
          <w:szCs w:val="24"/>
        </w:rPr>
      </w:pPr>
      <w:r>
        <w:rPr>
          <w:szCs w:val="24"/>
        </w:rPr>
        <w:t>“</w:t>
      </w:r>
      <w:r w:rsidR="00D03004" w:rsidRPr="00D03004">
        <w:rPr>
          <w:i/>
          <w:iCs/>
          <w:szCs w:val="24"/>
        </w:rPr>
        <w:t xml:space="preserve">Once challenged, jurisdiction cannot be </w:t>
      </w:r>
      <w:r>
        <w:rPr>
          <w:i/>
          <w:iCs/>
          <w:szCs w:val="24"/>
        </w:rPr>
        <w:t>‘</w:t>
      </w:r>
      <w:r w:rsidR="00D03004" w:rsidRPr="00D03004">
        <w:rPr>
          <w:i/>
          <w:iCs/>
          <w:szCs w:val="24"/>
        </w:rPr>
        <w:t>assumed</w:t>
      </w:r>
      <w:r>
        <w:rPr>
          <w:i/>
          <w:iCs/>
          <w:szCs w:val="24"/>
        </w:rPr>
        <w:t>’</w:t>
      </w:r>
      <w:r w:rsidR="00D03004" w:rsidRPr="00D03004">
        <w:rPr>
          <w:i/>
          <w:iCs/>
          <w:szCs w:val="24"/>
        </w:rPr>
        <w:t>, it must be proved to exist</w:t>
      </w:r>
      <w:r w:rsidR="00D03004" w:rsidRPr="00D03004">
        <w:rPr>
          <w:szCs w:val="24"/>
        </w:rPr>
        <w:t>.</w:t>
      </w:r>
      <w:r>
        <w:rPr>
          <w:szCs w:val="24"/>
        </w:rPr>
        <w:t>”</w:t>
      </w:r>
      <w:r w:rsidR="00D03004">
        <w:rPr>
          <w:szCs w:val="24"/>
        </w:rPr>
        <w:t xml:space="preserve"> –</w:t>
      </w:r>
      <w:r w:rsidR="00D03004" w:rsidRPr="00D03004">
        <w:rPr>
          <w:szCs w:val="24"/>
        </w:rPr>
        <w:t xml:space="preserve"> Stuck v. Medical Examiners, 94 Ca2d 751.211 P2s 389</w:t>
      </w:r>
      <w:r w:rsidR="00D03004">
        <w:rPr>
          <w:szCs w:val="24"/>
        </w:rPr>
        <w:t>;</w:t>
      </w:r>
      <w:r w:rsidR="00D03004" w:rsidRPr="00D03004">
        <w:rPr>
          <w:szCs w:val="24"/>
        </w:rPr>
        <w:t xml:space="preserve"> </w:t>
      </w:r>
      <w:r>
        <w:rPr>
          <w:szCs w:val="24"/>
        </w:rPr>
        <w:t>“</w:t>
      </w:r>
      <w:r w:rsidR="00D03004" w:rsidRPr="00D03004">
        <w:rPr>
          <w:i/>
          <w:iCs/>
          <w:szCs w:val="24"/>
        </w:rPr>
        <w:t>Jurisdiction, once challenged, cannot be assumed and must be decided</w:t>
      </w:r>
      <w:r w:rsidR="00D03004" w:rsidRPr="00D03004">
        <w:rPr>
          <w:szCs w:val="24"/>
        </w:rPr>
        <w:t>.</w:t>
      </w:r>
      <w:r>
        <w:rPr>
          <w:szCs w:val="24"/>
        </w:rPr>
        <w:t>”</w:t>
      </w:r>
      <w:r w:rsidR="00D03004">
        <w:rPr>
          <w:szCs w:val="24"/>
        </w:rPr>
        <w:t xml:space="preserve"> – </w:t>
      </w:r>
      <w:r w:rsidR="00D03004" w:rsidRPr="00D03004">
        <w:rPr>
          <w:szCs w:val="24"/>
        </w:rPr>
        <w:t>Maine v. Thiboutot, 100 S. Ct. 250</w:t>
      </w:r>
      <w:r w:rsidR="00D03004">
        <w:rPr>
          <w:szCs w:val="24"/>
        </w:rPr>
        <w:t>;</w:t>
      </w:r>
      <w:r w:rsidR="00D03004" w:rsidRPr="00D03004">
        <w:rPr>
          <w:szCs w:val="24"/>
        </w:rPr>
        <w:t xml:space="preserve"> </w:t>
      </w:r>
      <w:r>
        <w:rPr>
          <w:szCs w:val="24"/>
        </w:rPr>
        <w:t>“</w:t>
      </w:r>
      <w:r w:rsidR="00D03004" w:rsidRPr="00D03004">
        <w:rPr>
          <w:i/>
          <w:iCs/>
          <w:szCs w:val="24"/>
        </w:rPr>
        <w:t>No sanction can be imposed absent proof of jurisdiction</w:t>
      </w:r>
      <w:r>
        <w:rPr>
          <w:szCs w:val="24"/>
        </w:rPr>
        <w:t>”</w:t>
      </w:r>
      <w:r w:rsidR="00D03004">
        <w:rPr>
          <w:szCs w:val="24"/>
        </w:rPr>
        <w:t xml:space="preserve"> – </w:t>
      </w:r>
      <w:proofErr w:type="spellStart"/>
      <w:r w:rsidR="00D03004" w:rsidRPr="00D03004">
        <w:rPr>
          <w:szCs w:val="24"/>
        </w:rPr>
        <w:t>Stanard</w:t>
      </w:r>
      <w:proofErr w:type="spellEnd"/>
      <w:r w:rsidR="00D03004" w:rsidRPr="00D03004">
        <w:rPr>
          <w:szCs w:val="24"/>
        </w:rPr>
        <w:t xml:space="preserve"> v. Olesen, 74 S. Ct.768</w:t>
      </w:r>
      <w:r w:rsidR="00D03004">
        <w:rPr>
          <w:szCs w:val="24"/>
        </w:rPr>
        <w:t>;</w:t>
      </w:r>
      <w:r w:rsidR="00D03004" w:rsidRPr="00D03004">
        <w:rPr>
          <w:szCs w:val="24"/>
        </w:rPr>
        <w:t xml:space="preserve"> </w:t>
      </w:r>
      <w:r>
        <w:rPr>
          <w:szCs w:val="24"/>
        </w:rPr>
        <w:t>“</w:t>
      </w:r>
      <w:r w:rsidR="00D03004" w:rsidRPr="00D03004">
        <w:rPr>
          <w:i/>
          <w:iCs/>
          <w:szCs w:val="24"/>
        </w:rPr>
        <w:t>The law requires proof of jurisdiction to appear on the record of the administrative agency and all administrative proceedings</w:t>
      </w:r>
      <w:r>
        <w:rPr>
          <w:szCs w:val="24"/>
        </w:rPr>
        <w:t>”</w:t>
      </w:r>
      <w:r w:rsidR="00D03004">
        <w:rPr>
          <w:szCs w:val="24"/>
        </w:rPr>
        <w:t xml:space="preserve"> – </w:t>
      </w:r>
      <w:r w:rsidR="00D03004" w:rsidRPr="00D03004">
        <w:rPr>
          <w:szCs w:val="24"/>
        </w:rPr>
        <w:t>Hagans v. Lavine, 415 U.S. 528</w:t>
      </w:r>
      <w:r w:rsidR="00D03004">
        <w:rPr>
          <w:szCs w:val="24"/>
        </w:rPr>
        <w:t xml:space="preserve">; </w:t>
      </w:r>
      <w:r>
        <w:rPr>
          <w:szCs w:val="24"/>
        </w:rPr>
        <w:t>“</w:t>
      </w:r>
      <w:r w:rsidR="00260C5D" w:rsidRPr="00260C5D">
        <w:rPr>
          <w:i/>
          <w:iCs/>
          <w:szCs w:val="24"/>
        </w:rPr>
        <w:t>Court must prove on the record, all jurisdiction facts related to the jurisdiction asserted</w:t>
      </w:r>
      <w:r w:rsidR="00260C5D" w:rsidRPr="00D03004">
        <w:rPr>
          <w:szCs w:val="24"/>
        </w:rPr>
        <w:t>.</w:t>
      </w:r>
      <w:r>
        <w:rPr>
          <w:szCs w:val="24"/>
        </w:rPr>
        <w:t>”</w:t>
      </w:r>
      <w:r w:rsidR="00260C5D">
        <w:rPr>
          <w:szCs w:val="24"/>
        </w:rPr>
        <w:t xml:space="preserve"> –</w:t>
      </w:r>
      <w:proofErr w:type="spellStart"/>
      <w:r w:rsidR="00260C5D" w:rsidRPr="00D03004">
        <w:rPr>
          <w:szCs w:val="24"/>
        </w:rPr>
        <w:t>Lantanav</w:t>
      </w:r>
      <w:proofErr w:type="spellEnd"/>
      <w:r w:rsidR="00260C5D" w:rsidRPr="00D03004">
        <w:rPr>
          <w:szCs w:val="24"/>
        </w:rPr>
        <w:t xml:space="preserve">. Hopper, 102 F2d 188; </w:t>
      </w:r>
      <w:proofErr w:type="spellStart"/>
      <w:r w:rsidR="00260C5D" w:rsidRPr="00D03004">
        <w:rPr>
          <w:szCs w:val="24"/>
        </w:rPr>
        <w:t>Chicagov</w:t>
      </w:r>
      <w:proofErr w:type="spellEnd"/>
      <w:r w:rsidR="00260C5D" w:rsidRPr="00D03004">
        <w:rPr>
          <w:szCs w:val="24"/>
        </w:rPr>
        <w:t xml:space="preserve">. New York, 37 F Supp 150.; </w:t>
      </w:r>
      <w:r>
        <w:rPr>
          <w:szCs w:val="24"/>
        </w:rPr>
        <w:t>“</w:t>
      </w:r>
      <w:r w:rsidR="00260C5D" w:rsidRPr="00260C5D">
        <w:rPr>
          <w:i/>
          <w:iCs/>
          <w:szCs w:val="24"/>
        </w:rPr>
        <w:t xml:space="preserve">The law requires proof of jurisdiction to appear on the record of the administrative agency and all administrative </w:t>
      </w:r>
      <w:r w:rsidR="00260C5D" w:rsidRPr="00260C5D">
        <w:rPr>
          <w:i/>
          <w:iCs/>
          <w:szCs w:val="24"/>
        </w:rPr>
        <w:lastRenderedPageBreak/>
        <w:t>proceedings</w:t>
      </w:r>
      <w:r>
        <w:rPr>
          <w:szCs w:val="24"/>
        </w:rPr>
        <w:t>”</w:t>
      </w:r>
      <w:r w:rsidR="00260C5D">
        <w:rPr>
          <w:szCs w:val="24"/>
        </w:rPr>
        <w:t xml:space="preserve"> – </w:t>
      </w:r>
      <w:r w:rsidR="00260C5D" w:rsidRPr="00D03004">
        <w:rPr>
          <w:szCs w:val="24"/>
        </w:rPr>
        <w:t>Hagans v. Lavine, 415 U.S. 528</w:t>
      </w:r>
      <w:r w:rsidR="00260C5D">
        <w:rPr>
          <w:szCs w:val="24"/>
        </w:rPr>
        <w:t xml:space="preserve">. </w:t>
      </w:r>
      <w:r w:rsidR="00D03004" w:rsidRPr="00D03004">
        <w:rPr>
          <w:szCs w:val="24"/>
        </w:rPr>
        <w:t xml:space="preserve">Other cases also such as McNutt v. G.M., 56 S. Ct. 789,80 L. Ed. 1135, Griffin v. Mathews, 310 Supp. 341, 423 F. 2d 272, Basso v. U.P.L., 495 F 2d. 906, Thomson v. </w:t>
      </w:r>
      <w:proofErr w:type="spellStart"/>
      <w:r w:rsidR="00D03004" w:rsidRPr="00D03004">
        <w:rPr>
          <w:szCs w:val="24"/>
        </w:rPr>
        <w:t>Gaskiel</w:t>
      </w:r>
      <w:proofErr w:type="spellEnd"/>
      <w:r w:rsidR="00D03004" w:rsidRPr="00D03004">
        <w:rPr>
          <w:szCs w:val="24"/>
        </w:rPr>
        <w:t>, 62 S. Ct. 673, 83 L. Ed. 111, and Albrecht v U.S., 273 U.S. 1, also all confirm, that, when challenged, jurisdiction must be documented, shown, and proven, to lawfully exist before a cause may lawfully proceed in the courts.</w:t>
      </w:r>
    </w:p>
    <w:p w14:paraId="3F576EA2" w14:textId="442B2944" w:rsidR="0053767C" w:rsidRPr="0053767C" w:rsidRDefault="0053767C" w:rsidP="00D05A55">
      <w:pPr>
        <w:tabs>
          <w:tab w:val="left" w:pos="360"/>
        </w:tabs>
        <w:spacing w:line="360" w:lineRule="auto"/>
        <w:jc w:val="center"/>
        <w:rPr>
          <w:b/>
          <w:bCs/>
          <w:smallCaps/>
          <w:szCs w:val="24"/>
        </w:rPr>
      </w:pPr>
      <w:r w:rsidRPr="0053767C">
        <w:rPr>
          <w:b/>
          <w:bCs/>
          <w:smallCaps/>
          <w:szCs w:val="24"/>
        </w:rPr>
        <w:t>Reason for Moving to State Court</w:t>
      </w:r>
    </w:p>
    <w:p w14:paraId="792D2156" w14:textId="36703E0E" w:rsidR="00254CD1" w:rsidRDefault="00260C5D" w:rsidP="00D05A55">
      <w:pPr>
        <w:tabs>
          <w:tab w:val="left" w:pos="360"/>
        </w:tabs>
        <w:spacing w:line="360" w:lineRule="auto"/>
        <w:rPr>
          <w:szCs w:val="24"/>
        </w:rPr>
      </w:pPr>
      <w:r>
        <w:rPr>
          <w:szCs w:val="24"/>
        </w:rPr>
        <w:tab/>
      </w:r>
      <w:r w:rsidR="005C5F3E" w:rsidRPr="009740AF">
        <w:rPr>
          <w:szCs w:val="24"/>
        </w:rPr>
        <w:t>Th</w:t>
      </w:r>
      <w:r w:rsidR="005C5F3E">
        <w:rPr>
          <w:szCs w:val="24"/>
        </w:rPr>
        <w:t>is</w:t>
      </w:r>
      <w:r w:rsidR="005C5F3E" w:rsidRPr="009740AF">
        <w:rPr>
          <w:szCs w:val="24"/>
        </w:rPr>
        <w:t xml:space="preserve"> </w:t>
      </w:r>
      <w:r>
        <w:rPr>
          <w:szCs w:val="24"/>
        </w:rPr>
        <w:t xml:space="preserve">move </w:t>
      </w:r>
      <w:r w:rsidR="005C5F3E" w:rsidRPr="009740AF">
        <w:rPr>
          <w:szCs w:val="24"/>
        </w:rPr>
        <w:t xml:space="preserve">was triggered </w:t>
      </w:r>
      <w:r w:rsidR="002B2516">
        <w:rPr>
          <w:szCs w:val="24"/>
        </w:rPr>
        <w:t xml:space="preserve">when </w:t>
      </w:r>
      <w:r>
        <w:rPr>
          <w:szCs w:val="24"/>
        </w:rPr>
        <w:t xml:space="preserve">respondents </w:t>
      </w:r>
      <w:r w:rsidRPr="00260C5D">
        <w:rPr>
          <w:szCs w:val="24"/>
        </w:rPr>
        <w:t>collaborated</w:t>
      </w:r>
      <w:r>
        <w:rPr>
          <w:szCs w:val="24"/>
        </w:rPr>
        <w:t xml:space="preserve"> </w:t>
      </w:r>
      <w:r w:rsidR="0053767C">
        <w:rPr>
          <w:szCs w:val="24"/>
        </w:rPr>
        <w:t>to</w:t>
      </w:r>
      <w:r w:rsidR="00662AA9">
        <w:rPr>
          <w:szCs w:val="24"/>
        </w:rPr>
        <w:t xml:space="preserve"> ignore petitioner’s “Jurisdictional Challenge” and</w:t>
      </w:r>
      <w:r w:rsidR="0053767C">
        <w:rPr>
          <w:szCs w:val="24"/>
        </w:rPr>
        <w:t xml:space="preserve"> </w:t>
      </w:r>
      <w:r w:rsidR="00AF334E">
        <w:rPr>
          <w:szCs w:val="24"/>
        </w:rPr>
        <w:t>“</w:t>
      </w:r>
      <w:r w:rsidR="0053767C" w:rsidRPr="0053767C">
        <w:rPr>
          <w:szCs w:val="24"/>
          <w:u w:val="single"/>
        </w:rPr>
        <w:t>force a plea under threat</w:t>
      </w:r>
      <w:r w:rsidR="00AF334E">
        <w:rPr>
          <w:szCs w:val="24"/>
        </w:rPr>
        <w:t>”</w:t>
      </w:r>
      <w:r w:rsidR="0053767C">
        <w:rPr>
          <w:szCs w:val="24"/>
        </w:rPr>
        <w:t xml:space="preserve"> of suspension of petitioner</w:t>
      </w:r>
      <w:r w:rsidR="00AF334E">
        <w:rPr>
          <w:szCs w:val="24"/>
        </w:rPr>
        <w:t>’</w:t>
      </w:r>
      <w:r w:rsidR="0053767C">
        <w:rPr>
          <w:szCs w:val="24"/>
        </w:rPr>
        <w:t xml:space="preserve">s privilege to drive </w:t>
      </w:r>
      <w:r w:rsidR="00254CD1">
        <w:rPr>
          <w:szCs w:val="24"/>
        </w:rPr>
        <w:t>and</w:t>
      </w:r>
      <w:r w:rsidR="0053767C">
        <w:rPr>
          <w:szCs w:val="24"/>
        </w:rPr>
        <w:t xml:space="preserve"> threat of arrest</w:t>
      </w:r>
      <w:r w:rsidR="00254CD1">
        <w:rPr>
          <w:szCs w:val="24"/>
        </w:rPr>
        <w:t>,</w:t>
      </w:r>
      <w:r w:rsidR="00657921">
        <w:rPr>
          <w:szCs w:val="24"/>
        </w:rPr>
        <w:t xml:space="preserve"> </w:t>
      </w:r>
      <w:r w:rsidR="0053767C">
        <w:rPr>
          <w:szCs w:val="24"/>
        </w:rPr>
        <w:t xml:space="preserve">which would be catastrophic to </w:t>
      </w:r>
      <w:r w:rsidR="00254CD1">
        <w:rPr>
          <w:szCs w:val="24"/>
        </w:rPr>
        <w:t>petitioner</w:t>
      </w:r>
      <w:r w:rsidR="00AF334E">
        <w:rPr>
          <w:szCs w:val="24"/>
        </w:rPr>
        <w:t>’</w:t>
      </w:r>
      <w:r w:rsidR="00254CD1">
        <w:rPr>
          <w:szCs w:val="24"/>
        </w:rPr>
        <w:t>s</w:t>
      </w:r>
      <w:r w:rsidR="0053767C">
        <w:rPr>
          <w:szCs w:val="24"/>
        </w:rPr>
        <w:t xml:space="preserve"> ability to provide for his </w:t>
      </w:r>
      <w:r w:rsidR="00657921">
        <w:rPr>
          <w:szCs w:val="24"/>
        </w:rPr>
        <w:t>family</w:t>
      </w:r>
      <w:r w:rsidR="00AF334E">
        <w:rPr>
          <w:szCs w:val="24"/>
        </w:rPr>
        <w:t>’</w:t>
      </w:r>
      <w:r w:rsidR="00657921">
        <w:rPr>
          <w:szCs w:val="24"/>
        </w:rPr>
        <w:t>s wellbeing</w:t>
      </w:r>
      <w:r w:rsidR="00D93ED1">
        <w:rPr>
          <w:szCs w:val="24"/>
        </w:rPr>
        <w:t>;</w:t>
      </w:r>
      <w:r w:rsidR="0053767C">
        <w:rPr>
          <w:szCs w:val="24"/>
        </w:rPr>
        <w:t xml:space="preserve"> </w:t>
      </w:r>
      <w:r w:rsidR="00D93ED1">
        <w:rPr>
          <w:color w:val="FF0000"/>
          <w:szCs w:val="24"/>
        </w:rPr>
        <w:t>S</w:t>
      </w:r>
      <w:r w:rsidR="00D05A55" w:rsidRPr="003B3E13">
        <w:rPr>
          <w:color w:val="FF0000"/>
          <w:szCs w:val="24"/>
        </w:rPr>
        <w:t xml:space="preserve">ee </w:t>
      </w:r>
      <w:r w:rsidR="00D05A55">
        <w:rPr>
          <w:color w:val="FF0000"/>
          <w:szCs w:val="24"/>
        </w:rPr>
        <w:t>letter from originating court dated April 8, 2024</w:t>
      </w:r>
      <w:r w:rsidR="00D05A55" w:rsidRPr="003B3E13">
        <w:rPr>
          <w:color w:val="FF0000"/>
          <w:szCs w:val="24"/>
        </w:rPr>
        <w:t>, attached</w:t>
      </w:r>
      <w:r w:rsidR="00D05A55">
        <w:rPr>
          <w:szCs w:val="24"/>
        </w:rPr>
        <w:t xml:space="preserve">; </w:t>
      </w:r>
      <w:r w:rsidR="00254CD1">
        <w:rPr>
          <w:szCs w:val="24"/>
        </w:rPr>
        <w:t xml:space="preserve">Whereas in fact </w:t>
      </w:r>
      <w:r w:rsidR="00AF334E">
        <w:rPr>
          <w:szCs w:val="24"/>
        </w:rPr>
        <w:t>“</w:t>
      </w:r>
      <w:r w:rsidR="00254CD1" w:rsidRPr="00254CD1">
        <w:rPr>
          <w:i/>
          <w:iCs/>
          <w:szCs w:val="24"/>
        </w:rPr>
        <w:t xml:space="preserve">The right of the citizen to travel upon the public highways and to transport his property thereon, either by carriage or by automobile, </w:t>
      </w:r>
      <w:r w:rsidR="00254CD1" w:rsidRPr="00657921">
        <w:rPr>
          <w:i/>
          <w:iCs/>
          <w:szCs w:val="24"/>
          <w:u w:val="single"/>
        </w:rPr>
        <w:t xml:space="preserve">is not a mere </w:t>
      </w:r>
      <w:r w:rsidR="00254CD1" w:rsidRPr="00AF334E">
        <w:rPr>
          <w:i/>
          <w:iCs/>
          <w:szCs w:val="24"/>
          <w:u w:val="single"/>
        </w:rPr>
        <w:t>privilege which a city may prohibit or permit at will, but a common right</w:t>
      </w:r>
      <w:r w:rsidR="00254CD1" w:rsidRPr="00254CD1">
        <w:rPr>
          <w:i/>
          <w:iCs/>
          <w:szCs w:val="24"/>
        </w:rPr>
        <w:t xml:space="preserve"> which he has under the right to life, liberty, and the pursuit of happiness</w:t>
      </w:r>
      <w:r w:rsidR="00254CD1" w:rsidRPr="00254CD1">
        <w:rPr>
          <w:szCs w:val="24"/>
        </w:rPr>
        <w:t>.</w:t>
      </w:r>
      <w:r w:rsidR="00AF334E">
        <w:rPr>
          <w:szCs w:val="24"/>
        </w:rPr>
        <w:t>”</w:t>
      </w:r>
      <w:r w:rsidR="00254CD1">
        <w:rPr>
          <w:szCs w:val="24"/>
        </w:rPr>
        <w:t xml:space="preserve"> – </w:t>
      </w:r>
      <w:r w:rsidR="00254CD1" w:rsidRPr="00254CD1">
        <w:rPr>
          <w:szCs w:val="24"/>
        </w:rPr>
        <w:t>Thompson v Smith, 154 SE 579</w:t>
      </w:r>
      <w:r w:rsidR="00254CD1">
        <w:rPr>
          <w:szCs w:val="24"/>
        </w:rPr>
        <w:t xml:space="preserve">; </w:t>
      </w:r>
      <w:r w:rsidR="00254CD1" w:rsidRPr="00254CD1">
        <w:rPr>
          <w:szCs w:val="24"/>
        </w:rPr>
        <w:t>In effect, as per the Supreme Court decision in the case of Crandall v Nevada, 73 US 35; 18 L Ed (1867)</w:t>
      </w:r>
      <w:r w:rsidR="00254CD1">
        <w:rPr>
          <w:szCs w:val="24"/>
        </w:rPr>
        <w:t xml:space="preserve"> it was decided that;</w:t>
      </w:r>
      <w:r w:rsidR="00254CD1" w:rsidRPr="00254CD1">
        <w:rPr>
          <w:szCs w:val="24"/>
        </w:rPr>
        <w:t xml:space="preserve"> </w:t>
      </w:r>
      <w:r w:rsidR="00AF334E">
        <w:rPr>
          <w:szCs w:val="24"/>
        </w:rPr>
        <w:t>“</w:t>
      </w:r>
      <w:r w:rsidR="00254CD1">
        <w:rPr>
          <w:i/>
          <w:iCs/>
          <w:szCs w:val="24"/>
        </w:rPr>
        <w:t>S</w:t>
      </w:r>
      <w:r w:rsidR="00254CD1" w:rsidRPr="00254CD1">
        <w:rPr>
          <w:i/>
          <w:iCs/>
          <w:szCs w:val="24"/>
        </w:rPr>
        <w:t>peed limits and other traffic control devices, being non-fact-based, are simply an unlawful tax or impost on travel, and thus unconstitutional for the reason cited</w:t>
      </w:r>
      <w:r w:rsidR="00AF334E">
        <w:rPr>
          <w:szCs w:val="24"/>
        </w:rPr>
        <w:t>”</w:t>
      </w:r>
      <w:r w:rsidR="00254CD1" w:rsidRPr="00254CD1">
        <w:rPr>
          <w:i/>
          <w:iCs/>
          <w:szCs w:val="24"/>
        </w:rPr>
        <w:t xml:space="preserve"> </w:t>
      </w:r>
      <w:r w:rsidR="00254CD1" w:rsidRPr="00657921">
        <w:rPr>
          <w:szCs w:val="24"/>
        </w:rPr>
        <w:t xml:space="preserve">Colorado Article 42-2-101 clearly states, </w:t>
      </w:r>
      <w:r w:rsidR="00AF334E">
        <w:rPr>
          <w:szCs w:val="24"/>
        </w:rPr>
        <w:t>“</w:t>
      </w:r>
      <w:r w:rsidR="00657921">
        <w:rPr>
          <w:i/>
          <w:iCs/>
          <w:szCs w:val="24"/>
        </w:rPr>
        <w:t>L</w:t>
      </w:r>
      <w:r w:rsidR="00254CD1" w:rsidRPr="00657921">
        <w:rPr>
          <w:i/>
          <w:iCs/>
          <w:szCs w:val="24"/>
        </w:rPr>
        <w:t>icensing is for commercial drivers, not private citizens</w:t>
      </w:r>
      <w:r w:rsidR="00254CD1" w:rsidRPr="00657921">
        <w:rPr>
          <w:szCs w:val="24"/>
        </w:rPr>
        <w:t>.</w:t>
      </w:r>
      <w:r w:rsidR="00AF334E">
        <w:rPr>
          <w:szCs w:val="24"/>
        </w:rPr>
        <w:t>”</w:t>
      </w:r>
      <w:r w:rsidR="00254CD1" w:rsidRPr="00657921">
        <w:rPr>
          <w:szCs w:val="24"/>
        </w:rPr>
        <w:t xml:space="preserve"> </w:t>
      </w:r>
      <w:r w:rsidR="00657921">
        <w:rPr>
          <w:szCs w:val="24"/>
        </w:rPr>
        <w:t xml:space="preserve">Therefore, </w:t>
      </w:r>
      <w:r w:rsidR="00AF334E">
        <w:rPr>
          <w:szCs w:val="24"/>
        </w:rPr>
        <w:t>“</w:t>
      </w:r>
      <w:r w:rsidR="00254CD1" w:rsidRPr="00657921">
        <w:rPr>
          <w:i/>
          <w:iCs/>
          <w:szCs w:val="24"/>
        </w:rPr>
        <w:t>The right to travel is part of the Liberty of which the citizen cannot be deprived without due process of law under the Fifth Amendment</w:t>
      </w:r>
      <w:r w:rsidR="00254CD1" w:rsidRPr="00254CD1">
        <w:rPr>
          <w:szCs w:val="24"/>
        </w:rPr>
        <w:t>.</w:t>
      </w:r>
      <w:r w:rsidR="00AF334E">
        <w:rPr>
          <w:szCs w:val="24"/>
        </w:rPr>
        <w:t>”</w:t>
      </w:r>
      <w:r w:rsidR="00254CD1" w:rsidRPr="00254CD1">
        <w:rPr>
          <w:szCs w:val="24"/>
        </w:rPr>
        <w:t xml:space="preserve"> </w:t>
      </w:r>
      <w:r w:rsidR="00657921">
        <w:rPr>
          <w:szCs w:val="24"/>
        </w:rPr>
        <w:t xml:space="preserve">– </w:t>
      </w:r>
      <w:r w:rsidR="00254CD1" w:rsidRPr="00254CD1">
        <w:rPr>
          <w:szCs w:val="24"/>
        </w:rPr>
        <w:t xml:space="preserve">Kent v. Dulles 357 U.S. 116, 125. Reaffirmed in Zemel v. Rusk 33 US 1. </w:t>
      </w:r>
      <w:r w:rsidR="00AF334E">
        <w:rPr>
          <w:szCs w:val="24"/>
        </w:rPr>
        <w:t>“</w:t>
      </w:r>
      <w:r w:rsidR="00254CD1" w:rsidRPr="00657921">
        <w:rPr>
          <w:i/>
          <w:iCs/>
          <w:szCs w:val="24"/>
        </w:rPr>
        <w:t>Where activities or enjoyment, natural and often necessary to the wellbeing of an American citizen, such as travel, are involved, we will construe narrowly all delegated powers that curtail or dilute them... to repeat, we deal here with a constitutional right of the citizen</w:t>
      </w:r>
      <w:r w:rsidR="00254CD1" w:rsidRPr="00254CD1">
        <w:rPr>
          <w:szCs w:val="24"/>
        </w:rPr>
        <w:t>.</w:t>
      </w:r>
      <w:r w:rsidR="00AF334E">
        <w:rPr>
          <w:szCs w:val="24"/>
        </w:rPr>
        <w:t>”</w:t>
      </w:r>
      <w:r w:rsidR="00657921">
        <w:rPr>
          <w:szCs w:val="24"/>
        </w:rPr>
        <w:t xml:space="preserve"> –</w:t>
      </w:r>
      <w:r w:rsidR="00254CD1" w:rsidRPr="00254CD1">
        <w:rPr>
          <w:szCs w:val="24"/>
        </w:rPr>
        <w:t xml:space="preserve"> Edwards v. California 314 US 160 (1941).</w:t>
      </w:r>
    </w:p>
    <w:p w14:paraId="4EFC4314" w14:textId="17F47BB9" w:rsidR="007B2902" w:rsidRPr="00D93ED1" w:rsidRDefault="00DF427B" w:rsidP="00D05A55">
      <w:pPr>
        <w:tabs>
          <w:tab w:val="left" w:pos="360"/>
        </w:tabs>
        <w:spacing w:line="360" w:lineRule="auto"/>
        <w:rPr>
          <w:color w:val="FF0000"/>
        </w:rPr>
      </w:pPr>
      <w:r>
        <w:rPr>
          <w:szCs w:val="24"/>
        </w:rPr>
        <w:tab/>
        <w:t xml:space="preserve">Petitioner filed a “Notice of Special Appearance,” Notice of Motion,” a “Verified Jurisdictional Challenge,” and a “File on Demand” giving </w:t>
      </w:r>
      <w:r>
        <w:t xml:space="preserve">Court Clerk Carolyn </w:t>
      </w:r>
      <w:proofErr w:type="spellStart"/>
      <w:r>
        <w:t>Harkerode</w:t>
      </w:r>
      <w:proofErr w:type="spellEnd"/>
      <w:r>
        <w:t xml:space="preserve"> </w:t>
      </w:r>
      <w:r w:rsidR="00216B32">
        <w:t xml:space="preserve">notice of Law </w:t>
      </w:r>
      <w:r>
        <w:t xml:space="preserve">to file. </w:t>
      </w:r>
      <w:r w:rsidR="00256E9D">
        <w:rPr>
          <w:szCs w:val="24"/>
        </w:rPr>
        <w:t>R</w:t>
      </w:r>
      <w:r w:rsidR="00256E9D">
        <w:t>espondents concealed or removed petitioners filing from the court record</w:t>
      </w:r>
      <w:r w:rsidR="007B2902">
        <w:t xml:space="preserve"> in violation of 18 USC §1512</w:t>
      </w:r>
      <w:r w:rsidR="00155A74">
        <w:t xml:space="preserve">, 18 USC §2071, §175.25, §175.05, and §175.20. </w:t>
      </w:r>
      <w:r w:rsidR="00256E9D">
        <w:t xml:space="preserve"> </w:t>
      </w:r>
      <w:r w:rsidR="007B2902">
        <w:t xml:space="preserve">Whereas, </w:t>
      </w:r>
      <w:r w:rsidR="00662AA9">
        <w:t xml:space="preserve">petitioner directed </w:t>
      </w:r>
      <w:r w:rsidR="007B2902">
        <w:t xml:space="preserve">Clerk Carolyn </w:t>
      </w:r>
      <w:proofErr w:type="spellStart"/>
      <w:r w:rsidR="007B2902">
        <w:t>Harkerode</w:t>
      </w:r>
      <w:proofErr w:type="spellEnd"/>
      <w:r w:rsidR="007B2902">
        <w:t xml:space="preserve"> to time stamp petitioner’s “Jurisdictional Challenge” and return it to the petitioner in the provided self-addressed </w:t>
      </w:r>
      <w:r w:rsidR="007B2902">
        <w:lastRenderedPageBreak/>
        <w:t xml:space="preserve">stamped envelope. As a substitute Court Clerk Carolyn </w:t>
      </w:r>
      <w:proofErr w:type="spellStart"/>
      <w:r w:rsidR="007B2902">
        <w:t>Harkerode</w:t>
      </w:r>
      <w:proofErr w:type="spellEnd"/>
      <w:r w:rsidR="007B2902">
        <w:t xml:space="preserve">, Judge Dennis E Smith, and Prosecutor William Grady </w:t>
      </w:r>
      <w:r w:rsidR="007B2902" w:rsidRPr="0083115E">
        <w:t>colluded</w:t>
      </w:r>
      <w:r w:rsidR="00662AA9">
        <w:t xml:space="preserve"> to remove or conceal petitioners “Jurisdictional Challenge”</w:t>
      </w:r>
      <w:r w:rsidR="007B2902">
        <w:t xml:space="preserve"> and threatened petitioner with suspension of driver’s license, arrest, and a criminal record if petitioner does not comply with a plea</w:t>
      </w:r>
      <w:r w:rsidR="00155A74">
        <w:t xml:space="preserve"> thereby denying petitioner’s right of due process</w:t>
      </w:r>
      <w:r w:rsidR="00D05A55">
        <w:t xml:space="preserve"> by “Challenging Personam Jurisdiction</w:t>
      </w:r>
      <w:r w:rsidR="00D93ED1">
        <w:t>;</w:t>
      </w:r>
      <w:r w:rsidR="00D05A55">
        <w:t>”</w:t>
      </w:r>
      <w:r w:rsidR="00155A74">
        <w:t xml:space="preserve"> </w:t>
      </w:r>
      <w:r w:rsidR="007B2902" w:rsidRPr="00D93ED1">
        <w:rPr>
          <w:color w:val="FF0000"/>
        </w:rPr>
        <w:t>See letter from the originating court dated April 8</w:t>
      </w:r>
      <w:r w:rsidR="007B2902" w:rsidRPr="00D93ED1">
        <w:rPr>
          <w:color w:val="FF0000"/>
          <w:vertAlign w:val="superscript"/>
        </w:rPr>
        <w:t>th</w:t>
      </w:r>
      <w:r w:rsidR="007B2902" w:rsidRPr="00D93ED1">
        <w:rPr>
          <w:color w:val="FF0000"/>
        </w:rPr>
        <w:t xml:space="preserve"> 2024</w:t>
      </w:r>
      <w:r w:rsidR="00516495">
        <w:rPr>
          <w:color w:val="FF0000"/>
        </w:rPr>
        <w:t>, attached</w:t>
      </w:r>
      <w:r w:rsidR="007B2902" w:rsidRPr="00D93ED1">
        <w:rPr>
          <w:color w:val="FF0000"/>
        </w:rPr>
        <w:t>.</w:t>
      </w:r>
    </w:p>
    <w:p w14:paraId="5CECDE9E" w14:textId="33EBAA38" w:rsidR="0058604D" w:rsidRDefault="00155A74" w:rsidP="00D05A55">
      <w:pPr>
        <w:tabs>
          <w:tab w:val="left" w:pos="360"/>
        </w:tabs>
        <w:spacing w:line="360" w:lineRule="auto"/>
        <w:rPr>
          <w:szCs w:val="24"/>
        </w:rPr>
      </w:pPr>
      <w:r>
        <w:rPr>
          <w:szCs w:val="24"/>
        </w:rPr>
        <w:tab/>
        <w:t xml:space="preserve">Whereas the Law requires that; </w:t>
      </w:r>
      <w:r w:rsidR="00AF334E">
        <w:rPr>
          <w:szCs w:val="24"/>
        </w:rPr>
        <w:t>“</w:t>
      </w:r>
      <w:r w:rsidR="00254CD1" w:rsidRPr="00155A74">
        <w:rPr>
          <w:i/>
          <w:iCs/>
          <w:szCs w:val="24"/>
        </w:rPr>
        <w:t>If any tribunal finds absence of proof of jurisdiction over person and subject matter, the case must be dismissed</w:t>
      </w:r>
      <w:r w:rsidR="00254CD1" w:rsidRPr="00254CD1">
        <w:rPr>
          <w:szCs w:val="24"/>
        </w:rPr>
        <w:t>.</w:t>
      </w:r>
      <w:r w:rsidR="00AF334E">
        <w:rPr>
          <w:szCs w:val="24"/>
        </w:rPr>
        <w:t>”</w:t>
      </w:r>
      <w:r>
        <w:rPr>
          <w:szCs w:val="24"/>
        </w:rPr>
        <w:t xml:space="preserve"> – </w:t>
      </w:r>
      <w:r w:rsidR="00254CD1" w:rsidRPr="00254CD1">
        <w:rPr>
          <w:szCs w:val="24"/>
        </w:rPr>
        <w:t>Louisville R.R. Civil Rights...</w:t>
      </w:r>
      <w:r w:rsidR="00AF334E">
        <w:rPr>
          <w:szCs w:val="24"/>
        </w:rPr>
        <w:t>”</w:t>
      </w:r>
      <w:r w:rsidR="00254CD1" w:rsidRPr="00254CD1">
        <w:rPr>
          <w:szCs w:val="24"/>
        </w:rPr>
        <w:t xml:space="preserve"> </w:t>
      </w:r>
      <w:r>
        <w:rPr>
          <w:szCs w:val="24"/>
        </w:rPr>
        <w:t>“</w:t>
      </w:r>
      <w:r w:rsidR="00254CD1" w:rsidRPr="00155A74">
        <w:rPr>
          <w:i/>
          <w:iCs/>
          <w:szCs w:val="24"/>
        </w:rPr>
        <w:t>When it clearly appears that the court lacks jurisdiction, the court has no authority to reach the merits. In such a situation the action should be dismissed for want of jurisdiction</w:t>
      </w:r>
      <w:r w:rsidR="00254CD1" w:rsidRPr="00254CD1">
        <w:rPr>
          <w:szCs w:val="24"/>
        </w:rPr>
        <w:t>.</w:t>
      </w:r>
      <w:r>
        <w:rPr>
          <w:szCs w:val="24"/>
        </w:rPr>
        <w:t>” –</w:t>
      </w:r>
      <w:r w:rsidR="00254CD1" w:rsidRPr="00254CD1">
        <w:rPr>
          <w:szCs w:val="24"/>
        </w:rPr>
        <w:t xml:space="preserve"> Melo v. US, 505 F2d 1026, 1030</w:t>
      </w:r>
      <w:r>
        <w:rPr>
          <w:szCs w:val="24"/>
        </w:rPr>
        <w:t>.</w:t>
      </w:r>
    </w:p>
    <w:p w14:paraId="5CB364FC" w14:textId="77777777" w:rsidR="0058604D" w:rsidRPr="0058604D" w:rsidRDefault="0058604D" w:rsidP="00D05A55">
      <w:pPr>
        <w:tabs>
          <w:tab w:val="left" w:pos="360"/>
        </w:tabs>
        <w:autoSpaceDE w:val="0"/>
        <w:autoSpaceDN w:val="0"/>
        <w:adjustRightInd w:val="0"/>
        <w:spacing w:line="276" w:lineRule="auto"/>
        <w:rPr>
          <w:rFonts w:cs="Times New Roman"/>
          <w:szCs w:val="24"/>
        </w:rPr>
      </w:pPr>
    </w:p>
    <w:p w14:paraId="5718B45D" w14:textId="23D94F10" w:rsidR="00E11F2C" w:rsidRDefault="0058604D" w:rsidP="00D05A55">
      <w:pPr>
        <w:tabs>
          <w:tab w:val="left" w:pos="360"/>
        </w:tabs>
        <w:autoSpaceDE w:val="0"/>
        <w:autoSpaceDN w:val="0"/>
        <w:adjustRightInd w:val="0"/>
        <w:spacing w:line="276" w:lineRule="auto"/>
        <w:ind w:hanging="270"/>
        <w:rPr>
          <w:rFonts w:cs="Times New Roman"/>
          <w:szCs w:val="24"/>
        </w:rPr>
      </w:pPr>
      <w:r w:rsidRPr="0058604D">
        <w:rPr>
          <w:rFonts w:cs="Times New Roman"/>
          <w:b/>
          <w:smallCaps/>
          <w:sz w:val="40"/>
          <w:szCs w:val="40"/>
        </w:rPr>
        <w:t>W</w:t>
      </w:r>
      <w:r w:rsidRPr="0058604D">
        <w:rPr>
          <w:rFonts w:cs="Times New Roman"/>
          <w:b/>
          <w:smallCaps/>
          <w:szCs w:val="24"/>
        </w:rPr>
        <w:t>herefore,</w:t>
      </w:r>
      <w:r w:rsidRPr="0058604D">
        <w:rPr>
          <w:rFonts w:cs="Times New Roman"/>
          <w:b/>
          <w:szCs w:val="24"/>
        </w:rPr>
        <w:t xml:space="preserve"> </w:t>
      </w:r>
      <w:r w:rsidRPr="0058604D">
        <w:rPr>
          <w:rFonts w:cs="Times New Roman"/>
          <w:szCs w:val="24"/>
        </w:rPr>
        <w:t>p</w:t>
      </w:r>
      <w:r w:rsidR="00E11F2C">
        <w:rPr>
          <w:rFonts w:cs="Times New Roman"/>
          <w:szCs w:val="24"/>
        </w:rPr>
        <w:t xml:space="preserve">etitioner </w:t>
      </w:r>
      <w:r w:rsidRPr="0058604D">
        <w:rPr>
          <w:rFonts w:cs="Times New Roman"/>
          <w:szCs w:val="24"/>
        </w:rPr>
        <w:t xml:space="preserve">moves this court </w:t>
      </w:r>
      <w:r w:rsidR="00E11F2C">
        <w:rPr>
          <w:rFonts w:cs="Times New Roman"/>
          <w:szCs w:val="24"/>
        </w:rPr>
        <w:t>to hear and decide petitioners “Jurisdictional Challenge”</w:t>
      </w:r>
      <w:r w:rsidR="00D93ED1">
        <w:rPr>
          <w:rFonts w:cs="Times New Roman"/>
          <w:szCs w:val="24"/>
        </w:rPr>
        <w:t xml:space="preserve"> and dismiss the case for lack of </w:t>
      </w:r>
      <w:r w:rsidR="00D93ED1" w:rsidRPr="00D93ED1">
        <w:rPr>
          <w:rFonts w:cs="Times New Roman"/>
          <w:szCs w:val="24"/>
        </w:rPr>
        <w:t>personam</w:t>
      </w:r>
      <w:r w:rsidR="00D93ED1">
        <w:rPr>
          <w:rFonts w:cs="Times New Roman"/>
          <w:szCs w:val="24"/>
        </w:rPr>
        <w:t xml:space="preserve"> jurisdiction.</w:t>
      </w:r>
      <w:r w:rsidR="00E11F2C">
        <w:rPr>
          <w:rFonts w:cs="Times New Roman"/>
          <w:szCs w:val="24"/>
        </w:rPr>
        <w:t xml:space="preserve"> See, petitioner’s </w:t>
      </w:r>
      <w:r w:rsidR="00D93ED1">
        <w:rPr>
          <w:rFonts w:cs="Times New Roman"/>
          <w:szCs w:val="24"/>
        </w:rPr>
        <w:t xml:space="preserve">original </w:t>
      </w:r>
      <w:r w:rsidR="00E11F2C">
        <w:rPr>
          <w:rFonts w:cs="Times New Roman"/>
          <w:szCs w:val="24"/>
        </w:rPr>
        <w:t>filings challenging personam jurisdiction</w:t>
      </w:r>
      <w:r w:rsidR="00D93ED1">
        <w:rPr>
          <w:rFonts w:cs="Times New Roman"/>
          <w:szCs w:val="24"/>
        </w:rPr>
        <w:t xml:space="preserve">; </w:t>
      </w:r>
      <w:r w:rsidR="00D93ED1" w:rsidRPr="008E0614">
        <w:rPr>
          <w:rFonts w:cs="Times New Roman"/>
          <w:szCs w:val="24"/>
        </w:rPr>
        <w:t>Consisting</w:t>
      </w:r>
      <w:r w:rsidR="008E0614">
        <w:rPr>
          <w:rFonts w:cs="Times New Roman"/>
          <w:szCs w:val="24"/>
        </w:rPr>
        <w:t xml:space="preserve"> of</w:t>
      </w:r>
      <w:r w:rsidR="00D93ED1">
        <w:rPr>
          <w:rFonts w:cs="Times New Roman"/>
          <w:szCs w:val="24"/>
        </w:rPr>
        <w:t xml:space="preserve"> </w:t>
      </w:r>
      <w:r w:rsidR="00E11F2C" w:rsidRPr="008E0614">
        <w:rPr>
          <w:rFonts w:cs="Times New Roman"/>
          <w:szCs w:val="24"/>
        </w:rPr>
        <w:t>File on Demand 1 page, Notice of Special Appearance 1 page, Notice of Motion, Verified Jurisdictional Challenge 8 pages, dated March 25, 2024, and commercial code violation</w:t>
      </w:r>
      <w:r w:rsidR="008E0614">
        <w:rPr>
          <w:rFonts w:cs="Times New Roman"/>
          <w:szCs w:val="24"/>
        </w:rPr>
        <w:t>, attached</w:t>
      </w:r>
      <w:r w:rsidR="00E11F2C">
        <w:rPr>
          <w:rFonts w:cs="Times New Roman"/>
          <w:szCs w:val="24"/>
        </w:rPr>
        <w:t xml:space="preserve">. </w:t>
      </w:r>
    </w:p>
    <w:p w14:paraId="0C17BBD5" w14:textId="77777777" w:rsidR="00F81AA6" w:rsidRDefault="00F81AA6" w:rsidP="00D05A55">
      <w:pPr>
        <w:tabs>
          <w:tab w:val="left" w:pos="360"/>
        </w:tabs>
        <w:spacing w:after="0" w:line="276" w:lineRule="auto"/>
        <w:rPr>
          <w:rFonts w:cs="Times New Roman"/>
          <w:szCs w:val="24"/>
        </w:rPr>
      </w:pPr>
    </w:p>
    <w:p w14:paraId="4EA9F9E3" w14:textId="00EC80D9" w:rsidR="00CC4925" w:rsidRDefault="00CC4925" w:rsidP="00D05A55">
      <w:pPr>
        <w:tabs>
          <w:tab w:val="left" w:pos="360"/>
        </w:tabs>
        <w:spacing w:after="0" w:line="276" w:lineRule="auto"/>
        <w:rPr>
          <w:rFonts w:cs="Times New Roman"/>
          <w:szCs w:val="24"/>
        </w:rPr>
      </w:pPr>
      <w:r>
        <w:rPr>
          <w:rFonts w:cs="Times New Roman"/>
          <w:szCs w:val="24"/>
        </w:rPr>
        <w:tab/>
        <w:t>SEAL</w:t>
      </w:r>
    </w:p>
    <w:p w14:paraId="38ECEE01" w14:textId="17D3B3F0" w:rsidR="0058604D" w:rsidRPr="0058604D" w:rsidRDefault="0058604D" w:rsidP="00D05A55">
      <w:pPr>
        <w:tabs>
          <w:tab w:val="left" w:pos="360"/>
        </w:tabs>
        <w:spacing w:after="0" w:line="276" w:lineRule="auto"/>
        <w:jc w:val="right"/>
        <w:rPr>
          <w:rFonts w:cs="Times New Roman"/>
          <w:szCs w:val="24"/>
        </w:rPr>
      </w:pPr>
      <w:r w:rsidRPr="0058604D">
        <w:rPr>
          <w:rFonts w:cs="Times New Roman"/>
          <w:szCs w:val="24"/>
        </w:rPr>
        <w:t>________________________________</w:t>
      </w:r>
    </w:p>
    <w:p w14:paraId="74736437" w14:textId="26CEECEE" w:rsidR="0058604D" w:rsidRPr="0058604D" w:rsidRDefault="0058604D" w:rsidP="00D05A55">
      <w:pPr>
        <w:tabs>
          <w:tab w:val="left" w:pos="360"/>
        </w:tabs>
        <w:spacing w:after="0" w:line="276" w:lineRule="auto"/>
        <w:ind w:left="2160" w:hanging="720"/>
        <w:rPr>
          <w:rFonts w:cs="Times New Roman"/>
          <w:szCs w:val="24"/>
        </w:rPr>
      </w:pPr>
      <w:r w:rsidRPr="00243465">
        <w:rPr>
          <w:rFonts w:cs="Times New Roman"/>
          <w:color w:val="FF0000"/>
          <w:szCs w:val="24"/>
        </w:rPr>
        <w:tab/>
      </w:r>
      <w:r w:rsidRPr="00243465">
        <w:rPr>
          <w:rFonts w:cs="Times New Roman"/>
          <w:color w:val="FF0000"/>
          <w:szCs w:val="24"/>
        </w:rPr>
        <w:tab/>
      </w:r>
      <w:r w:rsidRPr="00243465">
        <w:rPr>
          <w:rFonts w:cs="Times New Roman"/>
          <w:color w:val="FF0000"/>
          <w:szCs w:val="24"/>
        </w:rPr>
        <w:tab/>
      </w:r>
      <w:r w:rsidRPr="00243465">
        <w:rPr>
          <w:rFonts w:cs="Times New Roman"/>
          <w:color w:val="FF0000"/>
          <w:szCs w:val="24"/>
        </w:rPr>
        <w:tab/>
      </w:r>
      <w:r w:rsidRPr="00243465">
        <w:rPr>
          <w:rFonts w:cs="Times New Roman"/>
          <w:color w:val="FF0000"/>
          <w:szCs w:val="24"/>
        </w:rPr>
        <w:tab/>
      </w:r>
      <w:r w:rsidRPr="00243465">
        <w:rPr>
          <w:rFonts w:cs="Times New Roman"/>
          <w:color w:val="FF0000"/>
          <w:szCs w:val="24"/>
        </w:rPr>
        <w:tab/>
      </w:r>
      <w:r w:rsidR="00EF39CA" w:rsidRPr="00EF39CA">
        <w:rPr>
          <w:rFonts w:cs="Times New Roman"/>
          <w:szCs w:val="24"/>
          <w:highlight w:val="black"/>
        </w:rPr>
        <w:t>XXXXXXXXX</w:t>
      </w:r>
      <w:r w:rsidRPr="0058604D">
        <w:rPr>
          <w:rFonts w:cs="Times New Roman"/>
          <w:szCs w:val="24"/>
        </w:rPr>
        <w:t xml:space="preserve">, in Pro Per </w:t>
      </w:r>
    </w:p>
    <w:p w14:paraId="09D8999B" w14:textId="77777777" w:rsidR="0058604D" w:rsidRDefault="0058604D" w:rsidP="00D05A55">
      <w:pPr>
        <w:tabs>
          <w:tab w:val="left" w:pos="360"/>
        </w:tabs>
        <w:spacing w:line="276" w:lineRule="auto"/>
        <w:rPr>
          <w:rFonts w:eastAsia="Times New Roman" w:cs="Times New Roman"/>
          <w:szCs w:val="24"/>
        </w:rPr>
      </w:pPr>
    </w:p>
    <w:p w14:paraId="3DC4706A" w14:textId="77777777" w:rsidR="00CC4925" w:rsidRPr="0058604D" w:rsidRDefault="00CC4925" w:rsidP="00D05A55">
      <w:pPr>
        <w:tabs>
          <w:tab w:val="left" w:pos="360"/>
        </w:tabs>
        <w:spacing w:line="276" w:lineRule="auto"/>
        <w:rPr>
          <w:rFonts w:eastAsia="Times New Roman" w:cs="Times New Roman"/>
          <w:szCs w:val="24"/>
        </w:rPr>
      </w:pPr>
    </w:p>
    <w:p w14:paraId="55897A17" w14:textId="77777777" w:rsidR="0058604D" w:rsidRPr="0058604D" w:rsidRDefault="0058604D" w:rsidP="00D05A55">
      <w:pPr>
        <w:tabs>
          <w:tab w:val="left" w:pos="360"/>
        </w:tabs>
        <w:spacing w:line="276" w:lineRule="auto"/>
        <w:jc w:val="center"/>
        <w:rPr>
          <w:rFonts w:cs="Times New Roman"/>
          <w:b/>
          <w:szCs w:val="24"/>
        </w:rPr>
      </w:pPr>
      <w:r w:rsidRPr="0058604D">
        <w:rPr>
          <w:rFonts w:cs="Times New Roman"/>
          <w:b/>
          <w:szCs w:val="24"/>
        </w:rPr>
        <w:t>NOTARY</w:t>
      </w:r>
    </w:p>
    <w:p w14:paraId="161DB9B2" w14:textId="72515576" w:rsidR="0058604D" w:rsidRPr="00CC4925" w:rsidRDefault="00CC4925" w:rsidP="00D05A55">
      <w:pPr>
        <w:tabs>
          <w:tab w:val="left" w:pos="360"/>
        </w:tabs>
        <w:spacing w:line="240" w:lineRule="auto"/>
        <w:rPr>
          <w:rFonts w:cs="Times New Roman"/>
          <w:sz w:val="20"/>
          <w:szCs w:val="20"/>
        </w:rPr>
      </w:pPr>
      <w:r>
        <w:rPr>
          <w:rFonts w:cs="Times New Roman"/>
          <w:sz w:val="20"/>
          <w:szCs w:val="20"/>
        </w:rPr>
        <w:t xml:space="preserve">New York </w:t>
      </w:r>
      <w:r w:rsidR="0058604D" w:rsidRPr="00CC4925">
        <w:rPr>
          <w:rFonts w:cs="Times New Roman"/>
          <w:sz w:val="20"/>
          <w:szCs w:val="20"/>
        </w:rPr>
        <w:t xml:space="preserve">State, </w:t>
      </w:r>
      <w:r>
        <w:rPr>
          <w:rFonts w:cs="Times New Roman"/>
          <w:sz w:val="20"/>
          <w:szCs w:val="20"/>
        </w:rPr>
        <w:t>Dutchess</w:t>
      </w:r>
      <w:r w:rsidR="0058604D" w:rsidRPr="00CC4925">
        <w:rPr>
          <w:rFonts w:cs="Times New Roman"/>
          <w:sz w:val="20"/>
          <w:szCs w:val="20"/>
        </w:rPr>
        <w:t xml:space="preserve"> County on this </w:t>
      </w:r>
      <w:r w:rsidR="00F81AA6">
        <w:rPr>
          <w:rFonts w:cs="Times New Roman"/>
          <w:sz w:val="20"/>
          <w:szCs w:val="20"/>
        </w:rPr>
        <w:t>29</w:t>
      </w:r>
      <w:r w:rsidR="00F81AA6" w:rsidRPr="00F81AA6">
        <w:rPr>
          <w:rFonts w:cs="Times New Roman"/>
          <w:sz w:val="20"/>
          <w:szCs w:val="20"/>
          <w:vertAlign w:val="superscript"/>
        </w:rPr>
        <w:t>th</w:t>
      </w:r>
      <w:r w:rsidR="00F81AA6">
        <w:rPr>
          <w:rFonts w:cs="Times New Roman"/>
          <w:sz w:val="20"/>
          <w:szCs w:val="20"/>
        </w:rPr>
        <w:t xml:space="preserve"> </w:t>
      </w:r>
      <w:r w:rsidR="0058604D" w:rsidRPr="00CC4925">
        <w:rPr>
          <w:rFonts w:cs="Times New Roman"/>
          <w:sz w:val="20"/>
          <w:szCs w:val="20"/>
        </w:rPr>
        <w:t xml:space="preserve">day of </w:t>
      </w:r>
      <w:r>
        <w:rPr>
          <w:rFonts w:cs="Times New Roman"/>
          <w:sz w:val="20"/>
          <w:szCs w:val="20"/>
        </w:rPr>
        <w:t>April</w:t>
      </w:r>
      <w:r w:rsidR="0058604D" w:rsidRPr="00CC4925">
        <w:rPr>
          <w:rFonts w:cs="Times New Roman"/>
          <w:sz w:val="20"/>
          <w:szCs w:val="20"/>
        </w:rPr>
        <w:t xml:space="preserve"> 20</w:t>
      </w:r>
      <w:r>
        <w:rPr>
          <w:rFonts w:cs="Times New Roman"/>
          <w:sz w:val="20"/>
          <w:szCs w:val="20"/>
        </w:rPr>
        <w:t>24</w:t>
      </w:r>
      <w:r w:rsidR="0058604D" w:rsidRPr="00CC4925">
        <w:rPr>
          <w:rFonts w:cs="Times New Roman"/>
          <w:sz w:val="20"/>
          <w:szCs w:val="20"/>
        </w:rPr>
        <w:t xml:space="preserve"> before me the subscriber, personally appeared to me known to be the living man describe in and who executed the forgoing instrument and sworn before me that he executed the same as his free will act and deed.</w:t>
      </w:r>
    </w:p>
    <w:p w14:paraId="29207A02" w14:textId="62BE5757" w:rsidR="0058604D" w:rsidRPr="0058604D" w:rsidRDefault="0058604D" w:rsidP="00D05A55">
      <w:pPr>
        <w:tabs>
          <w:tab w:val="left" w:pos="360"/>
        </w:tabs>
        <w:spacing w:after="0" w:line="276" w:lineRule="auto"/>
        <w:ind w:left="5760"/>
        <w:rPr>
          <w:rFonts w:cs="Times New Roman"/>
          <w:szCs w:val="24"/>
        </w:rPr>
      </w:pPr>
      <w:r w:rsidRPr="0058604D">
        <w:rPr>
          <w:rFonts w:cs="Times New Roman"/>
          <w:szCs w:val="24"/>
        </w:rPr>
        <w:t>_______________________</w:t>
      </w:r>
    </w:p>
    <w:p w14:paraId="5DF55CFE" w14:textId="77777777" w:rsidR="0058604D" w:rsidRPr="0058604D" w:rsidRDefault="0058604D" w:rsidP="00D05A55">
      <w:pPr>
        <w:tabs>
          <w:tab w:val="left" w:pos="360"/>
        </w:tabs>
        <w:spacing w:line="276" w:lineRule="auto"/>
        <w:rPr>
          <w:rFonts w:cs="Times New Roman"/>
          <w:szCs w:val="24"/>
        </w:rPr>
      </w:pPr>
      <w:r w:rsidRPr="0058604D">
        <w:rPr>
          <w:rFonts w:cs="Times New Roman"/>
          <w:szCs w:val="24"/>
        </w:rPr>
        <w:tab/>
        <w:t>(Notary Seal)</w:t>
      </w:r>
      <w:r w:rsidRPr="0058604D">
        <w:rPr>
          <w:rFonts w:cs="Times New Roman"/>
          <w:szCs w:val="24"/>
        </w:rPr>
        <w:tab/>
      </w:r>
      <w:r w:rsidRPr="0058604D">
        <w:rPr>
          <w:rFonts w:cs="Times New Roman"/>
          <w:szCs w:val="24"/>
        </w:rPr>
        <w:tab/>
      </w:r>
      <w:r w:rsidRPr="0058604D">
        <w:rPr>
          <w:rFonts w:cs="Times New Roman"/>
          <w:szCs w:val="24"/>
        </w:rPr>
        <w:tab/>
      </w:r>
      <w:r w:rsidRPr="0058604D">
        <w:rPr>
          <w:rFonts w:cs="Times New Roman"/>
          <w:szCs w:val="24"/>
        </w:rPr>
        <w:tab/>
      </w:r>
      <w:r w:rsidRPr="0058604D">
        <w:rPr>
          <w:rFonts w:cs="Times New Roman"/>
          <w:szCs w:val="24"/>
        </w:rPr>
        <w:tab/>
      </w:r>
      <w:r w:rsidRPr="0058604D">
        <w:rPr>
          <w:rFonts w:cs="Times New Roman"/>
          <w:szCs w:val="24"/>
        </w:rPr>
        <w:tab/>
      </w:r>
      <w:r w:rsidRPr="0058604D">
        <w:rPr>
          <w:rFonts w:cs="Times New Roman"/>
          <w:szCs w:val="24"/>
        </w:rPr>
        <w:tab/>
      </w:r>
      <w:r w:rsidRPr="0058604D">
        <w:rPr>
          <w:rFonts w:cs="Times New Roman"/>
          <w:szCs w:val="24"/>
        </w:rPr>
        <w:tab/>
        <w:t xml:space="preserve">   Notary</w:t>
      </w:r>
    </w:p>
    <w:p w14:paraId="198A0BF6" w14:textId="77777777" w:rsidR="0058604D" w:rsidRPr="0058604D" w:rsidRDefault="0058604D" w:rsidP="00D05A55">
      <w:pPr>
        <w:tabs>
          <w:tab w:val="left" w:pos="360"/>
        </w:tabs>
        <w:spacing w:line="276" w:lineRule="auto"/>
        <w:rPr>
          <w:rFonts w:cs="Times New Roman"/>
          <w:szCs w:val="24"/>
        </w:rPr>
      </w:pPr>
    </w:p>
    <w:p w14:paraId="13E10A7F" w14:textId="77777777" w:rsidR="0058604D" w:rsidRPr="0058604D" w:rsidRDefault="0058604D" w:rsidP="00D05A55">
      <w:pPr>
        <w:tabs>
          <w:tab w:val="left" w:pos="360"/>
        </w:tabs>
        <w:spacing w:line="276" w:lineRule="auto"/>
        <w:rPr>
          <w:szCs w:val="24"/>
        </w:rPr>
      </w:pPr>
    </w:p>
    <w:sectPr w:rsidR="0058604D" w:rsidRPr="0058604D" w:rsidSect="00CD5913">
      <w:footerReference w:type="default" r:id="rId7"/>
      <w:type w:val="continuous"/>
      <w:pgSz w:w="12240" w:h="15840"/>
      <w:pgMar w:top="1440" w:right="1440" w:bottom="1440" w:left="1440" w:header="720" w:footer="720" w:gutter="0"/>
      <w:lnNumType w:countBy="5"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AD10B" w14:textId="77777777" w:rsidR="004E03A9" w:rsidRDefault="004E03A9" w:rsidP="00CC7FC8">
      <w:pPr>
        <w:spacing w:after="0" w:line="240" w:lineRule="auto"/>
      </w:pPr>
      <w:r>
        <w:separator/>
      </w:r>
    </w:p>
  </w:endnote>
  <w:endnote w:type="continuationSeparator" w:id="0">
    <w:p w14:paraId="5D47948D" w14:textId="77777777" w:rsidR="004E03A9" w:rsidRDefault="004E03A9" w:rsidP="00CC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BookmanOldStyle">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436414"/>
      <w:docPartObj>
        <w:docPartGallery w:val="Page Numbers (Bottom of Page)"/>
        <w:docPartUnique/>
      </w:docPartObj>
    </w:sdtPr>
    <w:sdtContent>
      <w:sdt>
        <w:sdtPr>
          <w:id w:val="1728636285"/>
          <w:docPartObj>
            <w:docPartGallery w:val="Page Numbers (Top of Page)"/>
            <w:docPartUnique/>
          </w:docPartObj>
        </w:sdtPr>
        <w:sdtContent>
          <w:p w14:paraId="3547ECBA" w14:textId="06DE5126" w:rsidR="00950B81" w:rsidRDefault="00950B8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0F004B" w14:textId="77777777" w:rsidR="00950B81" w:rsidRDefault="00950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97B8B" w14:textId="77777777" w:rsidR="004E03A9" w:rsidRDefault="004E03A9" w:rsidP="00CC7FC8">
      <w:pPr>
        <w:spacing w:after="0" w:line="240" w:lineRule="auto"/>
      </w:pPr>
      <w:r>
        <w:separator/>
      </w:r>
    </w:p>
  </w:footnote>
  <w:footnote w:type="continuationSeparator" w:id="0">
    <w:p w14:paraId="170CEDB6" w14:textId="77777777" w:rsidR="004E03A9" w:rsidRDefault="004E03A9" w:rsidP="00CC7FC8">
      <w:pPr>
        <w:spacing w:after="0" w:line="240" w:lineRule="auto"/>
      </w:pPr>
      <w:r>
        <w:continuationSeparator/>
      </w:r>
    </w:p>
  </w:footnote>
  <w:footnote w:id="1">
    <w:p w14:paraId="2814A726" w14:textId="5FF07A7C" w:rsidR="00A532FD" w:rsidRPr="008353CE" w:rsidRDefault="00A532FD" w:rsidP="00A532FD">
      <w:pPr>
        <w:pStyle w:val="FootnoteText"/>
        <w:rPr>
          <w:rFonts w:ascii="Georgia" w:hAnsi="Georgia"/>
        </w:rPr>
      </w:pPr>
      <w:r w:rsidRPr="008353CE">
        <w:rPr>
          <w:rStyle w:val="FootnoteReference"/>
          <w:rFonts w:ascii="Georgia" w:hAnsi="Georgia"/>
          <w:b/>
          <w:bCs/>
        </w:rPr>
        <w:footnoteRef/>
      </w:r>
      <w:r w:rsidRPr="008353CE">
        <w:rPr>
          <w:rFonts w:ascii="Georgia" w:hAnsi="Georgia"/>
          <w:b/>
          <w:bCs/>
        </w:rPr>
        <w:t xml:space="preserve"> COURT OF RECORD:</w:t>
      </w:r>
      <w:r w:rsidRPr="008353CE">
        <w:rPr>
          <w:rFonts w:ascii="Georgia" w:hAnsi="Georgia"/>
        </w:rPr>
        <w:t xml:space="preserve"> Blacks Law</w:t>
      </w:r>
      <w:r>
        <w:rPr>
          <w:rFonts w:ascii="Georgia" w:hAnsi="Georgia"/>
        </w:rPr>
        <w:t>;</w:t>
      </w:r>
      <w:r w:rsidRPr="008353CE">
        <w:rPr>
          <w:rFonts w:ascii="Georgia" w:hAnsi="Georgia"/>
        </w:rPr>
        <w:t xml:space="preserve"> Proceeding according to the course of common law – Jones v. Jones, 188 </w:t>
      </w:r>
      <w:proofErr w:type="spellStart"/>
      <w:r w:rsidRPr="008353CE">
        <w:rPr>
          <w:rFonts w:ascii="Georgia" w:hAnsi="Georgia"/>
        </w:rPr>
        <w:t>Mo.App</w:t>
      </w:r>
      <w:proofErr w:type="spellEnd"/>
      <w:r w:rsidRPr="008353CE">
        <w:rPr>
          <w:rFonts w:ascii="Georgia" w:hAnsi="Georgia"/>
        </w:rPr>
        <w:t xml:space="preserve">. 220, 175 S.W. 227, 229; Ex parte Gladhill, 8 </w:t>
      </w:r>
      <w:proofErr w:type="spellStart"/>
      <w:r w:rsidRPr="008353CE">
        <w:rPr>
          <w:rFonts w:ascii="Georgia" w:hAnsi="Georgia"/>
        </w:rPr>
        <w:t>Metc</w:t>
      </w:r>
      <w:proofErr w:type="spellEnd"/>
      <w:r w:rsidRPr="008353CE">
        <w:rPr>
          <w:rFonts w:ascii="Georgia" w:hAnsi="Georgia"/>
        </w:rPr>
        <w:t xml:space="preserve">. Mass., 171, per Shaw, C.J. See, also, Ledwith v. </w:t>
      </w:r>
      <w:proofErr w:type="spellStart"/>
      <w:r w:rsidRPr="008353CE">
        <w:rPr>
          <w:rFonts w:ascii="Georgia" w:hAnsi="Georgia"/>
        </w:rPr>
        <w:t>Rosalsky</w:t>
      </w:r>
      <w:proofErr w:type="spellEnd"/>
      <w:r w:rsidRPr="008353CE">
        <w:rPr>
          <w:rFonts w:ascii="Georgia" w:hAnsi="Georgia"/>
        </w:rPr>
        <w:t>, 244 N.Y. 406, 155 N.E. 688, 689; Black</w:t>
      </w:r>
      <w:r w:rsidR="00AF334E">
        <w:rPr>
          <w:rFonts w:ascii="Georgia" w:hAnsi="Georgia"/>
        </w:rPr>
        <w:t>’</w:t>
      </w:r>
      <w:r w:rsidRPr="008353CE">
        <w:rPr>
          <w:rFonts w:ascii="Georgia" w:hAnsi="Georgia"/>
        </w:rPr>
        <w:t>s Law Dictionary, 4th Ed., 425, 426</w:t>
      </w:r>
    </w:p>
  </w:footnote>
  <w:footnote w:id="2">
    <w:p w14:paraId="23F86E57" w14:textId="77777777" w:rsidR="0065667D" w:rsidRPr="00141619" w:rsidRDefault="0065667D" w:rsidP="0065667D">
      <w:pPr>
        <w:pStyle w:val="FootnoteText"/>
      </w:pPr>
      <w:r w:rsidRPr="00F6677F">
        <w:rPr>
          <w:rStyle w:val="FootnoteReference"/>
        </w:rPr>
        <w:footnoteRef/>
      </w:r>
      <w:r w:rsidRPr="00F6677F">
        <w:t xml:space="preserve"> </w:t>
      </w:r>
      <w:r w:rsidRPr="00F6677F">
        <w:rPr>
          <w:b/>
        </w:rPr>
        <w:t>PEOPLE</w:t>
      </w:r>
      <w:r w:rsidRPr="00141619">
        <w:t xml:space="preserve">. People are supreme, not the state. - Waring vs. the Mayor of Savanah, 60 </w:t>
      </w:r>
      <w:proofErr w:type="spellStart"/>
      <w:r w:rsidRPr="00141619">
        <w:t>Georgiaat</w:t>
      </w:r>
      <w:proofErr w:type="spellEnd"/>
      <w:r w:rsidRPr="00141619">
        <w:t xml:space="preserve"> 93; The state cannot diminish rights of the people. - </w:t>
      </w:r>
      <w:proofErr w:type="spellStart"/>
      <w:r w:rsidRPr="00141619">
        <w:t>Hertado</w:t>
      </w:r>
      <w:proofErr w:type="spellEnd"/>
      <w:r w:rsidRPr="00141619">
        <w:t xml:space="preserve"> v. California, 100 US 516; ...at the Revolution, the sovereignty devolved on the people; and they are truly the sovereigns of the country, but they are sovereigns without subjects...with none to govern but themselves... - CHISHOLM v. GEORGIA (US) 2 Dall 419, 454, 1 L Ed 440</w:t>
      </w:r>
      <w:r>
        <w:t>, 455, 2 DALL (1793) pp471-472].</w:t>
      </w:r>
    </w:p>
  </w:footnote>
  <w:footnote w:id="3">
    <w:p w14:paraId="59DB38CF" w14:textId="77777777" w:rsidR="005C5F3E" w:rsidRPr="0088534F" w:rsidRDefault="005C5F3E" w:rsidP="005C5F3E">
      <w:pPr>
        <w:pStyle w:val="FootnoteText"/>
      </w:pPr>
      <w:r w:rsidRPr="0088534F">
        <w:rPr>
          <w:rStyle w:val="FootnoteReference"/>
        </w:rPr>
        <w:footnoteRef/>
      </w:r>
      <w:r w:rsidRPr="0088534F">
        <w:t xml:space="preserve"> Kansas Pac. Ry. Co. v. Dunmeyer 19 KAN 542.</w:t>
      </w:r>
    </w:p>
  </w:footnote>
  <w:footnote w:id="4">
    <w:p w14:paraId="4A1F5469" w14:textId="77777777" w:rsidR="005C5F3E" w:rsidRPr="0088534F" w:rsidRDefault="005C5F3E" w:rsidP="005C5F3E">
      <w:pPr>
        <w:pStyle w:val="FootnoteText"/>
      </w:pPr>
      <w:r w:rsidRPr="0088534F">
        <w:rPr>
          <w:rStyle w:val="FootnoteReference"/>
        </w:rPr>
        <w:footnoteRef/>
      </w:r>
      <w:r w:rsidRPr="0088534F">
        <w:t xml:space="preserve"> Dartmouth College Case, 4 Wheat, U.S. 518, 4 ED 629.</w:t>
      </w:r>
    </w:p>
  </w:footnote>
  <w:footnote w:id="5">
    <w:p w14:paraId="2EF6199C" w14:textId="77777777" w:rsidR="005C5F3E" w:rsidRPr="0088534F" w:rsidRDefault="005C5F3E" w:rsidP="005C5F3E">
      <w:pPr>
        <w:pStyle w:val="FootnoteText"/>
      </w:pPr>
      <w:r w:rsidRPr="0088534F">
        <w:rPr>
          <w:rStyle w:val="FootnoteReference"/>
        </w:rPr>
        <w:footnoteRef/>
      </w:r>
      <w:r w:rsidRPr="0088534F">
        <w:t xml:space="preserve"> Leeper vs. Texas, 139, U.S. 462, II SUP CT. 577, 35 L ED 225.</w:t>
      </w:r>
    </w:p>
  </w:footnote>
  <w:footnote w:id="6">
    <w:p w14:paraId="1F15BE2A" w14:textId="7EFC3E04" w:rsidR="005828C0" w:rsidRPr="005828C0" w:rsidRDefault="005828C0">
      <w:pPr>
        <w:pStyle w:val="FootnoteText"/>
        <w:rPr>
          <w:rFonts w:ascii="Georgia" w:hAnsi="Georgia"/>
        </w:rPr>
      </w:pPr>
      <w:r w:rsidRPr="005828C0">
        <w:rPr>
          <w:rStyle w:val="FootnoteReference"/>
          <w:rFonts w:ascii="Georgia" w:hAnsi="Georgia"/>
        </w:rPr>
        <w:footnoteRef/>
      </w:r>
      <w:r w:rsidRPr="005828C0">
        <w:rPr>
          <w:rFonts w:ascii="Georgia" w:hAnsi="Georgia"/>
        </w:rPr>
        <w:t xml:space="preserve"> </w:t>
      </w:r>
      <w:r w:rsidRPr="005828C0">
        <w:rPr>
          <w:rFonts w:ascii="Georgia" w:hAnsi="Georgia" w:cs="BookmanOldStyle"/>
        </w:rPr>
        <w:t xml:space="preserve">NISI [Lat] </w:t>
      </w:r>
      <w:r>
        <w:rPr>
          <w:rFonts w:ascii="Georgia" w:hAnsi="Georgia" w:cs="BookmanOldStyle"/>
        </w:rPr>
        <w:t>u</w:t>
      </w:r>
      <w:r w:rsidRPr="005828C0">
        <w:rPr>
          <w:rFonts w:ascii="Georgia" w:hAnsi="Georgia" w:cs="BookmanOldStyle"/>
        </w:rPr>
        <w:t>nless</w:t>
      </w:r>
    </w:p>
  </w:footnote>
  <w:footnote w:id="7">
    <w:p w14:paraId="1AC43138" w14:textId="09A47FD9" w:rsidR="005828C0" w:rsidRPr="005828C0" w:rsidRDefault="005828C0">
      <w:pPr>
        <w:pStyle w:val="FootnoteText"/>
        <w:rPr>
          <w:rFonts w:ascii="Georgia" w:hAnsi="Georgia"/>
        </w:rPr>
      </w:pPr>
      <w:r w:rsidRPr="005828C0">
        <w:rPr>
          <w:rStyle w:val="FootnoteReference"/>
          <w:rFonts w:ascii="Georgia" w:hAnsi="Georgia"/>
        </w:rPr>
        <w:footnoteRef/>
      </w:r>
      <w:r w:rsidRPr="005828C0">
        <w:rPr>
          <w:rFonts w:ascii="Georgia" w:hAnsi="Georgia"/>
        </w:rPr>
        <w:t xml:space="preserve"> </w:t>
      </w:r>
      <w:r w:rsidRPr="005828C0">
        <w:rPr>
          <w:rStyle w:val="ky2igmncmogjharherah"/>
          <w:rFonts w:ascii="Georgia" w:hAnsi="Georgia"/>
        </w:rPr>
        <w:t>PRIUS [Lat] first, prior, former, earlier</w:t>
      </w:r>
    </w:p>
  </w:footnote>
  <w:footnote w:id="8">
    <w:p w14:paraId="7164DDAA" w14:textId="77777777" w:rsidR="00BB1BB7" w:rsidRPr="00F729A2" w:rsidRDefault="00BB1BB7" w:rsidP="00BB1BB7">
      <w:pPr>
        <w:pStyle w:val="FootnoteText"/>
        <w:rPr>
          <w:bCs/>
          <w:sz w:val="18"/>
          <w:szCs w:val="18"/>
        </w:rPr>
      </w:pPr>
      <w:r w:rsidRPr="00F729A2">
        <w:rPr>
          <w:rStyle w:val="FootnoteReference"/>
          <w:bCs/>
          <w:sz w:val="18"/>
          <w:szCs w:val="18"/>
        </w:rPr>
        <w:footnoteRef/>
      </w:r>
      <w:r w:rsidRPr="00F729A2">
        <w:rPr>
          <w:bCs/>
          <w:sz w:val="18"/>
          <w:szCs w:val="18"/>
        </w:rPr>
        <w:t xml:space="preserve"> A Special Appearance is for the purpose of testing the sufficiency of service or the jurisdiction of the court; a general appearance is made where the defendant waives defects of service and submits to the jurisdiction. - </w:t>
      </w:r>
      <w:r>
        <w:rPr>
          <w:rFonts w:cstheme="minorHAnsi"/>
          <w:bCs/>
          <w:sz w:val="18"/>
          <w:szCs w:val="18"/>
        </w:rPr>
        <w:t xml:space="preserve">Blacks Law; Quoting </w:t>
      </w:r>
      <w:r w:rsidRPr="00F729A2">
        <w:rPr>
          <w:bCs/>
          <w:sz w:val="18"/>
          <w:szCs w:val="18"/>
        </w:rPr>
        <w:t>State v. Huller, 23 N.M. 306, 168 P. 528, 534, 1 A.L.R. 170.</w:t>
      </w:r>
    </w:p>
  </w:footnote>
  <w:footnote w:id="9">
    <w:p w14:paraId="4598C715" w14:textId="2E2568DA" w:rsidR="00BB1BB7" w:rsidRPr="00F729A2" w:rsidRDefault="00BB1BB7" w:rsidP="00BB1BB7">
      <w:pPr>
        <w:pStyle w:val="FootnoteText"/>
        <w:rPr>
          <w:bCs/>
          <w:sz w:val="18"/>
          <w:szCs w:val="18"/>
        </w:rPr>
      </w:pPr>
      <w:r w:rsidRPr="00F729A2">
        <w:rPr>
          <w:rStyle w:val="FootnoteReference"/>
          <w:bCs/>
          <w:sz w:val="18"/>
          <w:szCs w:val="18"/>
        </w:rPr>
        <w:footnoteRef/>
      </w:r>
      <w:r w:rsidRPr="00F729A2">
        <w:rPr>
          <w:bCs/>
          <w:sz w:val="18"/>
          <w:szCs w:val="18"/>
        </w:rPr>
        <w:t xml:space="preserve"> </w:t>
      </w:r>
      <w:r w:rsidR="00AF334E">
        <w:rPr>
          <w:bCs/>
          <w:sz w:val="18"/>
          <w:szCs w:val="18"/>
        </w:rPr>
        <w:t>“</w:t>
      </w:r>
      <w:r w:rsidRPr="00F729A2">
        <w:rPr>
          <w:bCs/>
          <w:sz w:val="18"/>
          <w:szCs w:val="18"/>
        </w:rPr>
        <w:t>Trial court acts without jurisdiction when it acts without inherent or common law authority, ...</w:t>
      </w:r>
      <w:r w:rsidR="00AF334E">
        <w:rPr>
          <w:bCs/>
          <w:sz w:val="18"/>
          <w:szCs w:val="18"/>
        </w:rPr>
        <w:t>”</w:t>
      </w:r>
      <w:r w:rsidRPr="00F729A2">
        <w:rPr>
          <w:bCs/>
          <w:sz w:val="18"/>
          <w:szCs w:val="18"/>
        </w:rPr>
        <w:t xml:space="preserve"> </w:t>
      </w:r>
      <w:r>
        <w:rPr>
          <w:bCs/>
          <w:sz w:val="18"/>
          <w:szCs w:val="18"/>
        </w:rPr>
        <w:t xml:space="preserve">- </w:t>
      </w:r>
      <w:r>
        <w:rPr>
          <w:rFonts w:cstheme="minorHAnsi"/>
          <w:bCs/>
          <w:sz w:val="18"/>
          <w:szCs w:val="18"/>
        </w:rPr>
        <w:t xml:space="preserve">Blacks Law; Quoting </w:t>
      </w:r>
      <w:r w:rsidRPr="00F729A2">
        <w:rPr>
          <w:bCs/>
          <w:sz w:val="18"/>
          <w:szCs w:val="18"/>
        </w:rPr>
        <w:t xml:space="preserve">State v. Rodriguez, 725 A.2d 635, 125 </w:t>
      </w:r>
      <w:proofErr w:type="spellStart"/>
      <w:proofErr w:type="gramStart"/>
      <w:r w:rsidRPr="00F729A2">
        <w:rPr>
          <w:bCs/>
          <w:sz w:val="18"/>
          <w:szCs w:val="18"/>
        </w:rPr>
        <w:t>Md.App</w:t>
      </w:r>
      <w:proofErr w:type="spellEnd"/>
      <w:proofErr w:type="gramEnd"/>
      <w:r w:rsidRPr="00F729A2">
        <w:rPr>
          <w:bCs/>
          <w:sz w:val="18"/>
          <w:szCs w:val="18"/>
        </w:rPr>
        <w:t xml:space="preserve"> 428, cert den 731 A.2d 971,354 Md. 573 (1999).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C5"/>
    <w:rsid w:val="000C67A0"/>
    <w:rsid w:val="00146CF2"/>
    <w:rsid w:val="00155A74"/>
    <w:rsid w:val="00204FAE"/>
    <w:rsid w:val="00216B32"/>
    <w:rsid w:val="00243465"/>
    <w:rsid w:val="00254CD1"/>
    <w:rsid w:val="00256E9D"/>
    <w:rsid w:val="00260C5D"/>
    <w:rsid w:val="002B2516"/>
    <w:rsid w:val="002E336F"/>
    <w:rsid w:val="0031532D"/>
    <w:rsid w:val="00387B56"/>
    <w:rsid w:val="003B3E13"/>
    <w:rsid w:val="00422488"/>
    <w:rsid w:val="00474B20"/>
    <w:rsid w:val="004E03A9"/>
    <w:rsid w:val="00516495"/>
    <w:rsid w:val="0053767C"/>
    <w:rsid w:val="005828C0"/>
    <w:rsid w:val="0058604D"/>
    <w:rsid w:val="005C5F3E"/>
    <w:rsid w:val="0065105C"/>
    <w:rsid w:val="0065667D"/>
    <w:rsid w:val="00657921"/>
    <w:rsid w:val="00662AA9"/>
    <w:rsid w:val="006C0EC2"/>
    <w:rsid w:val="00766F3F"/>
    <w:rsid w:val="007B2902"/>
    <w:rsid w:val="007D6125"/>
    <w:rsid w:val="0083115E"/>
    <w:rsid w:val="0088142A"/>
    <w:rsid w:val="008E0614"/>
    <w:rsid w:val="0091513E"/>
    <w:rsid w:val="00950B81"/>
    <w:rsid w:val="009706F6"/>
    <w:rsid w:val="00980586"/>
    <w:rsid w:val="00A532FD"/>
    <w:rsid w:val="00AD3711"/>
    <w:rsid w:val="00AE1306"/>
    <w:rsid w:val="00AF334E"/>
    <w:rsid w:val="00B22046"/>
    <w:rsid w:val="00B23FC5"/>
    <w:rsid w:val="00B76B24"/>
    <w:rsid w:val="00BB1BB7"/>
    <w:rsid w:val="00C04C57"/>
    <w:rsid w:val="00C161FA"/>
    <w:rsid w:val="00CC4925"/>
    <w:rsid w:val="00CC7FC8"/>
    <w:rsid w:val="00CD5913"/>
    <w:rsid w:val="00CE4A62"/>
    <w:rsid w:val="00D03004"/>
    <w:rsid w:val="00D05A55"/>
    <w:rsid w:val="00D93ED1"/>
    <w:rsid w:val="00DC2466"/>
    <w:rsid w:val="00DF427B"/>
    <w:rsid w:val="00E11F2C"/>
    <w:rsid w:val="00E17087"/>
    <w:rsid w:val="00ED689D"/>
    <w:rsid w:val="00EF098C"/>
    <w:rsid w:val="00EF0A3A"/>
    <w:rsid w:val="00EF39CA"/>
    <w:rsid w:val="00F81AA6"/>
    <w:rsid w:val="00F8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F2DD"/>
  <w15:chartTrackingRefBased/>
  <w15:docId w15:val="{A69E105E-EF01-4185-A24D-7A08CD8F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AE"/>
    <w:pPr>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C7FC8"/>
    <w:pPr>
      <w:spacing w:after="0" w:line="240" w:lineRule="auto"/>
    </w:pPr>
    <w:rPr>
      <w:rFonts w:ascii="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CC7FC8"/>
    <w:rPr>
      <w:rFonts w:ascii="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CC7FC8"/>
    <w:rPr>
      <w:vertAlign w:val="superscript"/>
    </w:rPr>
  </w:style>
  <w:style w:type="character" w:customStyle="1" w:styleId="hgkelc">
    <w:name w:val="hgkelc"/>
    <w:basedOn w:val="DefaultParagraphFont"/>
    <w:rsid w:val="00CC7FC8"/>
  </w:style>
  <w:style w:type="table" w:styleId="TableGrid">
    <w:name w:val="Table Grid"/>
    <w:basedOn w:val="TableNormal"/>
    <w:uiPriority w:val="39"/>
    <w:rsid w:val="00651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5667D"/>
    <w:pPr>
      <w:spacing w:before="100" w:beforeAutospacing="1" w:after="100" w:afterAutospacing="1" w:line="240" w:lineRule="auto"/>
      <w:jc w:val="left"/>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CE4A62"/>
    <w:rPr>
      <w:i/>
      <w:iCs/>
    </w:rPr>
  </w:style>
  <w:style w:type="character" w:customStyle="1" w:styleId="ky2igmncmogjharherah">
    <w:name w:val="ky2igmncmogjharherah"/>
    <w:basedOn w:val="DefaultParagraphFont"/>
    <w:rsid w:val="00ED689D"/>
  </w:style>
  <w:style w:type="paragraph" w:styleId="Header">
    <w:name w:val="header"/>
    <w:basedOn w:val="Normal"/>
    <w:link w:val="HeaderChar"/>
    <w:uiPriority w:val="99"/>
    <w:unhideWhenUsed/>
    <w:rsid w:val="0095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B81"/>
    <w:rPr>
      <w:rFonts w:ascii="Georgia" w:hAnsi="Georgia"/>
      <w:sz w:val="24"/>
    </w:rPr>
  </w:style>
  <w:style w:type="paragraph" w:styleId="Footer">
    <w:name w:val="footer"/>
    <w:basedOn w:val="Normal"/>
    <w:link w:val="FooterChar"/>
    <w:uiPriority w:val="99"/>
    <w:unhideWhenUsed/>
    <w:rsid w:val="0095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B81"/>
    <w:rPr>
      <w:rFonts w:ascii="Georgia" w:hAnsi="Georgia"/>
      <w:sz w:val="24"/>
    </w:rPr>
  </w:style>
  <w:style w:type="character" w:styleId="LineNumber">
    <w:name w:val="line number"/>
    <w:basedOn w:val="DefaultParagraphFont"/>
    <w:uiPriority w:val="99"/>
    <w:semiHidden/>
    <w:unhideWhenUsed/>
    <w:rsid w:val="0095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ABF9-6400-444E-89CA-504B0431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cp:lastPrinted>2024-04-28T16:44:00Z</cp:lastPrinted>
  <dcterms:created xsi:type="dcterms:W3CDTF">2024-04-29T21:48:00Z</dcterms:created>
  <dcterms:modified xsi:type="dcterms:W3CDTF">2024-06-17T21:18:00Z</dcterms:modified>
</cp:coreProperties>
</file>